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E6" w:rsidRDefault="004F5D33" w:rsidP="00A906E6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pacing w:val="-4"/>
          <w:sz w:val="27"/>
          <w:szCs w:val="27"/>
        </w:rPr>
        <w:t xml:space="preserve">Информация </w:t>
      </w:r>
      <w:r w:rsidR="00A906E6" w:rsidRPr="001D6B15">
        <w:rPr>
          <w:rFonts w:ascii="Times New Roman" w:hAnsi="Times New Roman"/>
          <w:b/>
          <w:spacing w:val="-4"/>
          <w:sz w:val="27"/>
          <w:szCs w:val="27"/>
        </w:rPr>
        <w:t xml:space="preserve">по результатам </w:t>
      </w:r>
      <w:r w:rsidR="00A906E6">
        <w:rPr>
          <w:rFonts w:ascii="Times New Roman" w:hAnsi="Times New Roman"/>
          <w:b/>
          <w:spacing w:val="-4"/>
          <w:sz w:val="27"/>
          <w:szCs w:val="27"/>
        </w:rPr>
        <w:t>экспертно-аналитического</w:t>
      </w:r>
      <w:r w:rsidR="00A906E6" w:rsidRPr="001D6B15">
        <w:rPr>
          <w:rFonts w:ascii="Times New Roman" w:hAnsi="Times New Roman"/>
          <w:b/>
          <w:spacing w:val="-4"/>
          <w:sz w:val="27"/>
          <w:szCs w:val="27"/>
        </w:rPr>
        <w:t xml:space="preserve"> мероприятия</w:t>
      </w:r>
      <w:r w:rsidR="00A906E6" w:rsidRPr="001D6B15">
        <w:rPr>
          <w:rFonts w:ascii="Times New Roman" w:hAnsi="Times New Roman"/>
          <w:b/>
          <w:spacing w:val="-4"/>
          <w:sz w:val="27"/>
          <w:szCs w:val="27"/>
        </w:rPr>
        <w:br/>
      </w:r>
      <w:r w:rsidR="00A906E6" w:rsidRPr="0075708F">
        <w:rPr>
          <w:rFonts w:ascii="Times New Roman" w:hAnsi="Times New Roman"/>
          <w:b/>
          <w:spacing w:val="-4"/>
          <w:sz w:val="27"/>
          <w:szCs w:val="27"/>
        </w:rPr>
        <w:t>«</w:t>
      </w:r>
      <w:r w:rsidR="00A906E6">
        <w:rPr>
          <w:rFonts w:ascii="Times New Roman" w:hAnsi="Times New Roman"/>
          <w:b/>
          <w:spacing w:val="-4"/>
          <w:sz w:val="27"/>
          <w:szCs w:val="27"/>
        </w:rPr>
        <w:t>Оценка</w:t>
      </w:r>
      <w:r w:rsidR="00A906E6" w:rsidRPr="0075708F">
        <w:rPr>
          <w:rFonts w:ascii="Times New Roman" w:hAnsi="Times New Roman"/>
          <w:b/>
          <w:spacing w:val="-4"/>
          <w:sz w:val="27"/>
          <w:szCs w:val="27"/>
        </w:rPr>
        <w:t xml:space="preserve"> эффективности </w:t>
      </w:r>
      <w:r w:rsidR="00A906E6">
        <w:rPr>
          <w:rFonts w:ascii="Times New Roman" w:hAnsi="Times New Roman"/>
          <w:b/>
          <w:spacing w:val="-4"/>
          <w:sz w:val="27"/>
          <w:szCs w:val="27"/>
        </w:rPr>
        <w:t>использования финансовой помощи</w:t>
      </w:r>
      <w:r w:rsidR="00A906E6" w:rsidRPr="0075708F">
        <w:rPr>
          <w:rFonts w:ascii="Times New Roman" w:hAnsi="Times New Roman"/>
          <w:b/>
          <w:spacing w:val="-4"/>
          <w:sz w:val="27"/>
          <w:szCs w:val="27"/>
        </w:rPr>
        <w:t>, пр</w:t>
      </w:r>
      <w:r w:rsidR="00A906E6">
        <w:rPr>
          <w:rFonts w:ascii="Times New Roman" w:hAnsi="Times New Roman"/>
          <w:b/>
          <w:spacing w:val="-4"/>
          <w:sz w:val="27"/>
          <w:szCs w:val="27"/>
        </w:rPr>
        <w:t>едоставленной</w:t>
      </w:r>
      <w:r w:rsidR="00A906E6" w:rsidRPr="0075708F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A906E6">
        <w:rPr>
          <w:rFonts w:ascii="Times New Roman" w:hAnsi="Times New Roman"/>
          <w:b/>
          <w:spacing w:val="-4"/>
          <w:sz w:val="27"/>
          <w:szCs w:val="27"/>
        </w:rPr>
        <w:t>Тульской</w:t>
      </w:r>
      <w:r w:rsidR="00A906E6" w:rsidRPr="0075708F">
        <w:rPr>
          <w:rFonts w:ascii="Times New Roman" w:hAnsi="Times New Roman"/>
          <w:b/>
          <w:spacing w:val="-4"/>
          <w:sz w:val="27"/>
          <w:szCs w:val="27"/>
        </w:rPr>
        <w:t xml:space="preserve"> област</w:t>
      </w:r>
      <w:r w:rsidR="00A906E6">
        <w:rPr>
          <w:rFonts w:ascii="Times New Roman" w:hAnsi="Times New Roman"/>
          <w:b/>
          <w:spacing w:val="-4"/>
          <w:sz w:val="27"/>
          <w:szCs w:val="27"/>
        </w:rPr>
        <w:t>и из федерального бюджета в 2014 году и за истекший период 2015 года, в том числе оценка влияния такой помощи на объем и структуру государственного долга Тульской области»</w:t>
      </w:r>
    </w:p>
    <w:p w:rsidR="004F5D33" w:rsidRPr="004F5D33" w:rsidRDefault="004F5D33" w:rsidP="004F5D33">
      <w:pPr>
        <w:pStyle w:val="a3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соответствии с </w:t>
      </w:r>
      <w:r w:rsidR="00A906E6">
        <w:rPr>
          <w:rFonts w:ascii="Times New Roman" w:hAnsi="Times New Roman"/>
          <w:spacing w:val="-4"/>
          <w:sz w:val="28"/>
          <w:szCs w:val="28"/>
        </w:rPr>
        <w:t>пункт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="00A906E6">
        <w:rPr>
          <w:rFonts w:ascii="Times New Roman" w:hAnsi="Times New Roman"/>
          <w:spacing w:val="-4"/>
          <w:sz w:val="28"/>
          <w:szCs w:val="28"/>
        </w:rPr>
        <w:t xml:space="preserve"> 5.3</w:t>
      </w:r>
      <w:r w:rsidR="00A906E6" w:rsidRPr="001D6B15">
        <w:rPr>
          <w:rFonts w:ascii="Times New Roman" w:hAnsi="Times New Roman"/>
          <w:spacing w:val="-4"/>
          <w:sz w:val="28"/>
          <w:szCs w:val="28"/>
        </w:rPr>
        <w:t xml:space="preserve"> плана работы счетной палаты Тульской области </w:t>
      </w:r>
      <w:r>
        <w:rPr>
          <w:rFonts w:ascii="Times New Roman" w:hAnsi="Times New Roman"/>
          <w:spacing w:val="-4"/>
          <w:sz w:val="28"/>
          <w:szCs w:val="28"/>
        </w:rPr>
        <w:t xml:space="preserve">на 2015 год счетная палата Тульской области в период </w:t>
      </w:r>
      <w:r w:rsidRPr="001D6B15">
        <w:rPr>
          <w:rFonts w:ascii="Times New Roman" w:hAnsi="Times New Roman"/>
          <w:spacing w:val="-4"/>
          <w:sz w:val="28"/>
          <w:szCs w:val="28"/>
        </w:rPr>
        <w:t xml:space="preserve">с </w:t>
      </w:r>
      <w:r>
        <w:rPr>
          <w:rFonts w:ascii="Times New Roman" w:hAnsi="Times New Roman"/>
          <w:spacing w:val="-4"/>
          <w:sz w:val="28"/>
          <w:szCs w:val="28"/>
        </w:rPr>
        <w:t>13 августа</w:t>
      </w:r>
      <w:r w:rsidRPr="001D6B15">
        <w:rPr>
          <w:rFonts w:ascii="Times New Roman" w:hAnsi="Times New Roman"/>
          <w:spacing w:val="-4"/>
          <w:sz w:val="28"/>
          <w:szCs w:val="28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</w:rPr>
        <w:t xml:space="preserve">30 октября 2015 года </w:t>
      </w:r>
      <w:r w:rsidRPr="004F5D33">
        <w:rPr>
          <w:rFonts w:ascii="Times New Roman" w:hAnsi="Times New Roman"/>
          <w:sz w:val="28"/>
          <w:szCs w:val="28"/>
        </w:rPr>
        <w:t>провела экспертно-аналитическое мероприятие «Оценка эффективности использования финансовой помощи, предоставленной Тульской области из федерального бюджета в 2014 году и за истекший период 2015 года, в том числе оценка влияния такой помощи на объем и структуру государственного долга Тульской области».</w:t>
      </w:r>
    </w:p>
    <w:p w:rsidR="00A906E6" w:rsidRPr="001D6B15" w:rsidRDefault="004F5D33" w:rsidP="004F5D3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Целями </w:t>
      </w:r>
      <w:r w:rsidR="00A906E6" w:rsidRPr="001D6B15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="00A906E6">
        <w:rPr>
          <w:rFonts w:ascii="Times New Roman" w:hAnsi="Times New Roman"/>
          <w:b/>
          <w:i/>
          <w:spacing w:val="-4"/>
          <w:sz w:val="28"/>
          <w:szCs w:val="28"/>
        </w:rPr>
        <w:t>экспертно-аналитического</w:t>
      </w:r>
      <w:r w:rsidR="00A906E6" w:rsidRPr="001D6B15">
        <w:rPr>
          <w:rFonts w:ascii="Times New Roman" w:hAnsi="Times New Roman"/>
          <w:b/>
          <w:i/>
          <w:spacing w:val="-4"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являлись</w:t>
      </w:r>
      <w:r w:rsidR="00A906E6" w:rsidRPr="001D6B15">
        <w:rPr>
          <w:rFonts w:ascii="Times New Roman" w:hAnsi="Times New Roman"/>
          <w:b/>
          <w:i/>
          <w:spacing w:val="-4"/>
          <w:sz w:val="28"/>
          <w:szCs w:val="28"/>
        </w:rPr>
        <w:t>:</w:t>
      </w:r>
    </w:p>
    <w:p w:rsidR="00A906E6" w:rsidRPr="00B65629" w:rsidRDefault="00A906E6" w:rsidP="00A906E6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п</w:t>
      </w:r>
      <w:r w:rsidRPr="00D951E1">
        <w:rPr>
          <w:rFonts w:ascii="Times New Roman" w:hAnsi="Times New Roman"/>
          <w:sz w:val="28"/>
          <w:szCs w:val="28"/>
        </w:rPr>
        <w:t xml:space="preserve">роанализировать и оценить эффективность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B65629">
        <w:rPr>
          <w:rFonts w:ascii="Times New Roman" w:hAnsi="Times New Roman"/>
          <w:spacing w:val="-4"/>
          <w:sz w:val="27"/>
          <w:szCs w:val="27"/>
        </w:rPr>
        <w:t>финансовой помощи, предоставленной Тульской области из федерального бюджета</w:t>
      </w:r>
      <w:r w:rsidRPr="00B65629">
        <w:rPr>
          <w:rFonts w:ascii="Times New Roman" w:hAnsi="Times New Roman"/>
          <w:sz w:val="28"/>
          <w:szCs w:val="28"/>
        </w:rPr>
        <w:t>;</w:t>
      </w:r>
    </w:p>
    <w:p w:rsidR="00A906E6" w:rsidRDefault="00A906E6" w:rsidP="00A906E6">
      <w:pPr>
        <w:pStyle w:val="Default"/>
        <w:tabs>
          <w:tab w:val="left" w:pos="993"/>
        </w:tabs>
        <w:spacing w:before="60"/>
        <w:ind w:firstLine="709"/>
        <w:jc w:val="both"/>
        <w:rPr>
          <w:spacing w:val="-4"/>
          <w:sz w:val="27"/>
          <w:szCs w:val="27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проанализировать </w:t>
      </w:r>
      <w:r w:rsidR="00C066BF">
        <w:rPr>
          <w:sz w:val="28"/>
          <w:szCs w:val="28"/>
        </w:rPr>
        <w:t>изменение</w:t>
      </w:r>
      <w:r>
        <w:rPr>
          <w:spacing w:val="-4"/>
          <w:sz w:val="27"/>
          <w:szCs w:val="27"/>
        </w:rPr>
        <w:t xml:space="preserve"> объем</w:t>
      </w:r>
      <w:r w:rsidR="00C066BF">
        <w:rPr>
          <w:spacing w:val="-4"/>
          <w:sz w:val="27"/>
          <w:szCs w:val="27"/>
        </w:rPr>
        <w:t>а</w:t>
      </w:r>
      <w:r>
        <w:rPr>
          <w:spacing w:val="-4"/>
          <w:sz w:val="27"/>
          <w:szCs w:val="27"/>
        </w:rPr>
        <w:t xml:space="preserve"> и структур</w:t>
      </w:r>
      <w:r w:rsidR="00C066BF">
        <w:rPr>
          <w:spacing w:val="-4"/>
          <w:sz w:val="27"/>
          <w:szCs w:val="27"/>
        </w:rPr>
        <w:t>ы</w:t>
      </w:r>
      <w:r>
        <w:rPr>
          <w:spacing w:val="-4"/>
          <w:sz w:val="27"/>
          <w:szCs w:val="27"/>
        </w:rPr>
        <w:t xml:space="preserve"> государственного долга Тульской области.</w:t>
      </w:r>
    </w:p>
    <w:p w:rsidR="00A906E6" w:rsidRPr="001D6B15" w:rsidRDefault="00A906E6" w:rsidP="00A906E6">
      <w:pPr>
        <w:pStyle w:val="a3"/>
        <w:tabs>
          <w:tab w:val="left" w:pos="1276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b/>
          <w:spacing w:val="-4"/>
          <w:sz w:val="28"/>
          <w:szCs w:val="28"/>
        </w:rPr>
      </w:pP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>Предмет</w:t>
      </w:r>
      <w:r w:rsidR="004F5D33">
        <w:rPr>
          <w:rFonts w:ascii="Times New Roman" w:hAnsi="Times New Roman"/>
          <w:b/>
          <w:i/>
          <w:spacing w:val="-4"/>
          <w:sz w:val="28"/>
          <w:szCs w:val="28"/>
        </w:rPr>
        <w:t>ом</w:t>
      </w: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экспертно-аналитического</w:t>
      </w: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 xml:space="preserve"> мероприятия</w:t>
      </w:r>
      <w:r w:rsidR="004F5D33">
        <w:rPr>
          <w:rFonts w:ascii="Times New Roman" w:hAnsi="Times New Roman"/>
          <w:b/>
          <w:i/>
          <w:spacing w:val="-4"/>
          <w:sz w:val="28"/>
          <w:szCs w:val="28"/>
        </w:rPr>
        <w:t xml:space="preserve"> являлся</w:t>
      </w:r>
      <w:r w:rsidRPr="001D6B15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A906E6" w:rsidRPr="00C634E3" w:rsidRDefault="00A906E6" w:rsidP="00A906E6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E3">
        <w:rPr>
          <w:rFonts w:ascii="Times New Roman" w:hAnsi="Times New Roman"/>
          <w:sz w:val="28"/>
          <w:szCs w:val="28"/>
        </w:rPr>
        <w:t>–</w:t>
      </w:r>
      <w:r w:rsidRPr="00C634E3">
        <w:rPr>
          <w:rFonts w:ascii="Times New Roman" w:hAnsi="Times New Roman"/>
          <w:sz w:val="28"/>
          <w:szCs w:val="28"/>
        </w:rPr>
        <w:tab/>
        <w:t>деятельность исполнительных органов государственной власти Тульской области, направленная на использование финансовой помощи, предоставляемой бюджету Тульской области из федерального бюджета;</w:t>
      </w:r>
    </w:p>
    <w:p w:rsidR="00A906E6" w:rsidRPr="00C634E3" w:rsidRDefault="00A906E6" w:rsidP="00A906E6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C634E3">
        <w:rPr>
          <w:rFonts w:ascii="Times New Roman" w:hAnsi="Times New Roman"/>
          <w:sz w:val="28"/>
          <w:szCs w:val="28"/>
        </w:rPr>
        <w:t>межбюджетные трансферты, предоставленные бюджету Тульской области из федерального бюджета;</w:t>
      </w:r>
    </w:p>
    <w:p w:rsidR="00A906E6" w:rsidRPr="00C634E3" w:rsidRDefault="00A906E6" w:rsidP="00A906E6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C634E3">
        <w:rPr>
          <w:rFonts w:ascii="Times New Roman" w:hAnsi="Times New Roman"/>
          <w:sz w:val="28"/>
          <w:szCs w:val="28"/>
        </w:rPr>
        <w:t xml:space="preserve">параметры государственного долга Тульской области, расходы на его погашение и обслуживание. </w:t>
      </w:r>
    </w:p>
    <w:p w:rsidR="00A906E6" w:rsidRPr="00C93C47" w:rsidRDefault="00A906E6" w:rsidP="00A906E6">
      <w:pPr>
        <w:pStyle w:val="Default"/>
        <w:spacing w:before="120"/>
        <w:ind w:firstLine="567"/>
        <w:jc w:val="both"/>
        <w:rPr>
          <w:i/>
          <w:sz w:val="28"/>
          <w:szCs w:val="28"/>
        </w:rPr>
      </w:pPr>
      <w:r w:rsidRPr="00C93C47">
        <w:rPr>
          <w:b/>
          <w:bCs/>
          <w:i/>
          <w:sz w:val="28"/>
          <w:szCs w:val="28"/>
        </w:rPr>
        <w:t xml:space="preserve">Объекты </w:t>
      </w:r>
      <w:r w:rsidRPr="00C93C47">
        <w:rPr>
          <w:b/>
          <w:i/>
          <w:spacing w:val="-4"/>
          <w:sz w:val="28"/>
          <w:szCs w:val="28"/>
        </w:rPr>
        <w:t>экспертно-аналитического</w:t>
      </w:r>
      <w:r w:rsidRPr="00C93C47">
        <w:rPr>
          <w:b/>
          <w:bCs/>
          <w:i/>
          <w:sz w:val="28"/>
          <w:szCs w:val="28"/>
        </w:rPr>
        <w:t xml:space="preserve"> мероприятия</w:t>
      </w:r>
      <w:r w:rsidR="004F5D33">
        <w:rPr>
          <w:b/>
          <w:bCs/>
          <w:i/>
          <w:sz w:val="28"/>
          <w:szCs w:val="28"/>
        </w:rPr>
        <w:t xml:space="preserve"> выступали</w:t>
      </w:r>
      <w:r>
        <w:rPr>
          <w:b/>
          <w:bCs/>
          <w:i/>
          <w:sz w:val="28"/>
          <w:szCs w:val="28"/>
        </w:rPr>
        <w:t>:</w:t>
      </w:r>
      <w:r w:rsidRPr="00C93C47">
        <w:rPr>
          <w:b/>
          <w:bCs/>
          <w:i/>
          <w:sz w:val="28"/>
          <w:szCs w:val="28"/>
        </w:rPr>
        <w:t xml:space="preserve"> </w:t>
      </w:r>
    </w:p>
    <w:p w:rsidR="00A906E6" w:rsidRPr="00C634E3" w:rsidRDefault="00A906E6" w:rsidP="00A906E6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4E3">
        <w:rPr>
          <w:rFonts w:ascii="Times New Roman" w:hAnsi="Times New Roman"/>
          <w:sz w:val="28"/>
          <w:szCs w:val="28"/>
        </w:rPr>
        <w:t>–</w:t>
      </w:r>
      <w:r w:rsidRPr="00C634E3">
        <w:rPr>
          <w:rFonts w:ascii="Times New Roman" w:hAnsi="Times New Roman"/>
          <w:sz w:val="28"/>
          <w:szCs w:val="28"/>
        </w:rPr>
        <w:tab/>
        <w:t>министерство финансов Тульской области;</w:t>
      </w:r>
    </w:p>
    <w:p w:rsidR="00A906E6" w:rsidRPr="00C634E3" w:rsidRDefault="00A906E6" w:rsidP="00A906E6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главные</w:t>
      </w:r>
      <w:r w:rsidR="00DE1171">
        <w:rPr>
          <w:rFonts w:ascii="Times New Roman" w:hAnsi="Times New Roman"/>
          <w:sz w:val="28"/>
          <w:szCs w:val="28"/>
        </w:rPr>
        <w:t xml:space="preserve"> распорядители средств бюджета Т</w:t>
      </w:r>
      <w:r>
        <w:rPr>
          <w:rFonts w:ascii="Times New Roman" w:hAnsi="Times New Roman"/>
          <w:sz w:val="28"/>
          <w:szCs w:val="28"/>
        </w:rPr>
        <w:t>ульской области</w:t>
      </w:r>
      <w:r w:rsidR="00360A7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получатели межбюджетных трансфертов из федерального бюджета</w:t>
      </w:r>
      <w:r w:rsidRPr="00C634E3">
        <w:rPr>
          <w:rFonts w:ascii="Times New Roman" w:hAnsi="Times New Roman"/>
          <w:sz w:val="28"/>
          <w:szCs w:val="28"/>
        </w:rPr>
        <w:t xml:space="preserve">. </w:t>
      </w:r>
    </w:p>
    <w:p w:rsidR="00A906E6" w:rsidRPr="001D6B15" w:rsidRDefault="00A906E6" w:rsidP="00A906E6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 xml:space="preserve">Результаты </w:t>
      </w:r>
      <w:r w:rsidRPr="00C93C47">
        <w:rPr>
          <w:rFonts w:ascii="Times New Roman" w:hAnsi="Times New Roman"/>
          <w:b/>
          <w:i/>
          <w:spacing w:val="-4"/>
          <w:sz w:val="28"/>
          <w:szCs w:val="28"/>
        </w:rPr>
        <w:t>экспертно-аналитического</w:t>
      </w: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 xml:space="preserve"> мероприятия:</w:t>
      </w:r>
    </w:p>
    <w:p w:rsidR="009100DF" w:rsidRDefault="009100DF" w:rsidP="009100DF">
      <w:pPr>
        <w:pStyle w:val="ab"/>
        <w:spacing w:before="240" w:line="240" w:lineRule="auto"/>
        <w:ind w:left="1069" w:firstLine="0"/>
        <w:rPr>
          <w:rFonts w:eastAsia="Calibri"/>
          <w:b/>
          <w:spacing w:val="-4"/>
          <w:szCs w:val="28"/>
          <w:lang w:eastAsia="en-US"/>
        </w:rPr>
      </w:pPr>
      <w:r>
        <w:rPr>
          <w:rFonts w:eastAsia="Calibri"/>
          <w:b/>
          <w:spacing w:val="-4"/>
          <w:szCs w:val="28"/>
          <w:lang w:eastAsia="en-US"/>
        </w:rPr>
        <w:t>1. </w:t>
      </w:r>
      <w:r w:rsidR="006A227F">
        <w:rPr>
          <w:rFonts w:eastAsia="Calibri"/>
          <w:b/>
          <w:spacing w:val="-4"/>
          <w:szCs w:val="28"/>
          <w:lang w:eastAsia="en-US"/>
        </w:rPr>
        <w:t xml:space="preserve">Анализ </w:t>
      </w:r>
      <w:r>
        <w:rPr>
          <w:rFonts w:eastAsia="Calibri"/>
          <w:b/>
          <w:spacing w:val="-4"/>
          <w:szCs w:val="28"/>
          <w:lang w:eastAsia="en-US"/>
        </w:rPr>
        <w:t>безвозмездных перечислений, поступивших в бюджет</w:t>
      </w:r>
    </w:p>
    <w:p w:rsidR="006A227F" w:rsidRPr="006A227F" w:rsidRDefault="009100DF" w:rsidP="009100DF">
      <w:pPr>
        <w:pStyle w:val="ab"/>
        <w:spacing w:line="240" w:lineRule="auto"/>
        <w:ind w:left="1072" w:firstLine="0"/>
        <w:rPr>
          <w:rFonts w:eastAsia="Calibri"/>
          <w:b/>
          <w:spacing w:val="-4"/>
          <w:szCs w:val="28"/>
          <w:lang w:eastAsia="en-US"/>
        </w:rPr>
      </w:pPr>
      <w:r>
        <w:rPr>
          <w:rFonts w:eastAsia="Calibri"/>
          <w:b/>
          <w:spacing w:val="-4"/>
          <w:szCs w:val="28"/>
          <w:lang w:eastAsia="en-US"/>
        </w:rPr>
        <w:t xml:space="preserve">Тульской области </w:t>
      </w:r>
      <w:r w:rsidR="006A227F">
        <w:rPr>
          <w:rFonts w:eastAsia="Calibri"/>
          <w:b/>
          <w:spacing w:val="-4"/>
          <w:szCs w:val="28"/>
          <w:lang w:eastAsia="en-US"/>
        </w:rPr>
        <w:t>из федерального бюджета в 2014 – 2015 годах</w:t>
      </w:r>
    </w:p>
    <w:p w:rsidR="00915129" w:rsidRDefault="00092BAF" w:rsidP="00B32C5A">
      <w:pPr>
        <w:pStyle w:val="ab"/>
        <w:spacing w:before="120" w:line="240" w:lineRule="auto"/>
        <w:jc w:val="both"/>
        <w:rPr>
          <w:rFonts w:eastAsia="Calibri"/>
          <w:spacing w:val="-4"/>
          <w:szCs w:val="28"/>
          <w:lang w:eastAsia="en-US"/>
        </w:rPr>
      </w:pPr>
      <w:r w:rsidRPr="0056089F">
        <w:rPr>
          <w:rFonts w:eastAsia="Calibri"/>
          <w:spacing w:val="-4"/>
          <w:szCs w:val="28"/>
          <w:lang w:eastAsia="en-US"/>
        </w:rPr>
        <w:t>Закон</w:t>
      </w:r>
      <w:r>
        <w:rPr>
          <w:rFonts w:eastAsia="Calibri"/>
          <w:spacing w:val="-4"/>
          <w:szCs w:val="28"/>
          <w:lang w:eastAsia="en-US"/>
        </w:rPr>
        <w:t>ом</w:t>
      </w:r>
      <w:r w:rsidRPr="0056089F">
        <w:rPr>
          <w:rFonts w:eastAsia="Calibri"/>
          <w:spacing w:val="-4"/>
          <w:szCs w:val="28"/>
          <w:lang w:eastAsia="en-US"/>
        </w:rPr>
        <w:t xml:space="preserve"> Тульской области </w:t>
      </w:r>
      <w:r w:rsidR="00915129">
        <w:rPr>
          <w:rFonts w:eastAsia="Calibri"/>
          <w:spacing w:val="-4"/>
          <w:szCs w:val="28"/>
          <w:lang w:eastAsia="en-US"/>
        </w:rPr>
        <w:t xml:space="preserve">от 09.12.2013 №2042-ЗТО </w:t>
      </w:r>
      <w:r w:rsidRPr="0056089F">
        <w:rPr>
          <w:rFonts w:eastAsia="Calibri"/>
          <w:spacing w:val="-4"/>
          <w:szCs w:val="28"/>
          <w:lang w:eastAsia="en-US"/>
        </w:rPr>
        <w:t>«О бюджете Тульской области на 2014 год и на плановый период 2015 и 2016 годов»</w:t>
      </w:r>
      <w:r w:rsidR="00915129">
        <w:rPr>
          <w:rFonts w:eastAsia="Calibri"/>
          <w:spacing w:val="-4"/>
          <w:szCs w:val="28"/>
          <w:lang w:eastAsia="en-US"/>
        </w:rPr>
        <w:t xml:space="preserve"> (в редакции от 25.12.2014) утверждены следующие основные характеристики бюджета области на 2014 год:</w:t>
      </w:r>
    </w:p>
    <w:p w:rsidR="00915129" w:rsidRDefault="00915129" w:rsidP="00761740">
      <w:pPr>
        <w:pStyle w:val="ConsPlusNormal"/>
        <w:ind w:firstLine="709"/>
        <w:jc w:val="both"/>
      </w:pPr>
      <w:r>
        <w:t xml:space="preserve">общий объем доходов бюджета области </w:t>
      </w:r>
      <w:r w:rsidR="00360A7F">
        <w:t>–</w:t>
      </w:r>
      <w:r w:rsidRPr="00915129">
        <w:rPr>
          <w:spacing w:val="-4"/>
          <w:lang w:eastAsia="en-US"/>
        </w:rPr>
        <w:t xml:space="preserve"> 61 037 531,6</w:t>
      </w:r>
      <w:r>
        <w:rPr>
          <w:spacing w:val="-4"/>
          <w:lang w:eastAsia="en-US"/>
        </w:rPr>
        <w:t xml:space="preserve"> </w:t>
      </w:r>
      <w:r w:rsidRPr="00915129">
        <w:rPr>
          <w:spacing w:val="-4"/>
          <w:lang w:eastAsia="en-US"/>
        </w:rPr>
        <w:t>тыс. рублей</w:t>
      </w:r>
      <w:r>
        <w:t>;</w:t>
      </w:r>
    </w:p>
    <w:p w:rsidR="00915129" w:rsidRDefault="00915129" w:rsidP="00DE1171">
      <w:pPr>
        <w:pStyle w:val="ConsPlusNormal"/>
        <w:ind w:firstLine="709"/>
        <w:jc w:val="both"/>
      </w:pPr>
      <w:r>
        <w:t xml:space="preserve">общий объем расходов бюджета области </w:t>
      </w:r>
      <w:r w:rsidR="00360A7F">
        <w:t>–</w:t>
      </w:r>
      <w:r>
        <w:t xml:space="preserve"> </w:t>
      </w:r>
      <w:r w:rsidRPr="00915129">
        <w:rPr>
          <w:spacing w:val="-4"/>
          <w:lang w:eastAsia="en-US"/>
        </w:rPr>
        <w:t>6</w:t>
      </w:r>
      <w:r w:rsidR="00AE37A8">
        <w:rPr>
          <w:spacing w:val="-4"/>
          <w:lang w:eastAsia="en-US"/>
        </w:rPr>
        <w:t>6</w:t>
      </w:r>
      <w:r w:rsidRPr="00915129">
        <w:rPr>
          <w:spacing w:val="-4"/>
          <w:lang w:eastAsia="en-US"/>
        </w:rPr>
        <w:t> 905 472,8</w:t>
      </w:r>
      <w:r>
        <w:rPr>
          <w:spacing w:val="-4"/>
          <w:lang w:eastAsia="en-US"/>
        </w:rPr>
        <w:t xml:space="preserve"> </w:t>
      </w:r>
      <w:r w:rsidRPr="00915129">
        <w:rPr>
          <w:spacing w:val="-4"/>
          <w:lang w:eastAsia="en-US"/>
        </w:rPr>
        <w:t>тыс</w:t>
      </w:r>
      <w:r>
        <w:t>. рублей;</w:t>
      </w:r>
    </w:p>
    <w:p w:rsidR="00915129" w:rsidRDefault="00915129" w:rsidP="00DE1171">
      <w:pPr>
        <w:pStyle w:val="ConsPlusNormal"/>
        <w:ind w:firstLine="709"/>
        <w:jc w:val="both"/>
      </w:pPr>
      <w:r>
        <w:lastRenderedPageBreak/>
        <w:t xml:space="preserve">дефицит бюджета области </w:t>
      </w:r>
      <w:r w:rsidR="00360A7F">
        <w:t>–</w:t>
      </w:r>
      <w:r>
        <w:t xml:space="preserve"> </w:t>
      </w:r>
      <w:r w:rsidRPr="00915129">
        <w:t>5</w:t>
      </w:r>
      <w:r>
        <w:t> </w:t>
      </w:r>
      <w:r w:rsidRPr="00915129">
        <w:t>867</w:t>
      </w:r>
      <w:r>
        <w:t> </w:t>
      </w:r>
      <w:r w:rsidRPr="00915129">
        <w:t>941,</w:t>
      </w:r>
      <w:r w:rsidRPr="00915129">
        <w:rPr>
          <w:spacing w:val="-4"/>
          <w:lang w:eastAsia="en-US"/>
        </w:rPr>
        <w:t>2</w:t>
      </w:r>
      <w:r>
        <w:rPr>
          <w:spacing w:val="-4"/>
          <w:lang w:eastAsia="en-US"/>
        </w:rPr>
        <w:t xml:space="preserve"> </w:t>
      </w:r>
      <w:r w:rsidRPr="00915129">
        <w:rPr>
          <w:spacing w:val="-4"/>
          <w:lang w:eastAsia="en-US"/>
        </w:rPr>
        <w:t>тыс</w:t>
      </w:r>
      <w:r>
        <w:t>. рублей.</w:t>
      </w:r>
    </w:p>
    <w:p w:rsidR="00761740" w:rsidRDefault="00761740" w:rsidP="00DE1171">
      <w:pPr>
        <w:pStyle w:val="ConsPlusNormal"/>
        <w:ind w:firstLine="709"/>
        <w:jc w:val="both"/>
      </w:pPr>
      <w:r>
        <w:t xml:space="preserve">Объем безвозмездных поступлений в бюджет области из федерального бюджета утвержден в сумме </w:t>
      </w:r>
      <w:r w:rsidRPr="00761740">
        <w:t>10</w:t>
      </w:r>
      <w:r>
        <w:t> </w:t>
      </w:r>
      <w:r w:rsidRPr="00761740">
        <w:t>135</w:t>
      </w:r>
      <w:r>
        <w:t> </w:t>
      </w:r>
      <w:r w:rsidRPr="00761740">
        <w:t>966,5</w:t>
      </w:r>
      <w:r>
        <w:t xml:space="preserve"> тыс. рублей</w:t>
      </w:r>
      <w:r w:rsidR="00DE7C36">
        <w:t>.</w:t>
      </w:r>
    </w:p>
    <w:p w:rsidR="00915129" w:rsidRDefault="00915129" w:rsidP="00DE1171">
      <w:pPr>
        <w:pStyle w:val="ConsPlusNormal"/>
        <w:spacing w:before="120"/>
        <w:ind w:firstLine="709"/>
        <w:jc w:val="both"/>
      </w:pPr>
      <w:r w:rsidRPr="00761740">
        <w:t>Законом Тульской области  02.12.2014 №2223</w:t>
      </w:r>
      <w:r>
        <w:rPr>
          <w:spacing w:val="-4"/>
          <w:lang w:eastAsia="en-US"/>
        </w:rPr>
        <w:t xml:space="preserve">-ЗТО </w:t>
      </w:r>
      <w:r w:rsidRPr="0056089F">
        <w:rPr>
          <w:spacing w:val="-4"/>
          <w:lang w:eastAsia="en-US"/>
        </w:rPr>
        <w:t>«О бюджете Тульской области на 201</w:t>
      </w:r>
      <w:r>
        <w:rPr>
          <w:spacing w:val="-4"/>
          <w:lang w:eastAsia="en-US"/>
        </w:rPr>
        <w:t>5</w:t>
      </w:r>
      <w:r w:rsidRPr="0056089F">
        <w:rPr>
          <w:spacing w:val="-4"/>
          <w:lang w:eastAsia="en-US"/>
        </w:rPr>
        <w:t xml:space="preserve"> год и на плановый период 201</w:t>
      </w:r>
      <w:r>
        <w:rPr>
          <w:spacing w:val="-4"/>
          <w:lang w:eastAsia="en-US"/>
        </w:rPr>
        <w:t>6</w:t>
      </w:r>
      <w:r w:rsidRPr="0056089F">
        <w:rPr>
          <w:spacing w:val="-4"/>
          <w:lang w:eastAsia="en-US"/>
        </w:rPr>
        <w:t xml:space="preserve"> и 201</w:t>
      </w:r>
      <w:r>
        <w:rPr>
          <w:spacing w:val="-4"/>
          <w:lang w:eastAsia="en-US"/>
        </w:rPr>
        <w:t>7</w:t>
      </w:r>
      <w:r w:rsidRPr="0056089F">
        <w:rPr>
          <w:spacing w:val="-4"/>
          <w:lang w:eastAsia="en-US"/>
        </w:rPr>
        <w:t xml:space="preserve"> годов»</w:t>
      </w:r>
      <w:r>
        <w:rPr>
          <w:spacing w:val="-4"/>
          <w:lang w:eastAsia="en-US"/>
        </w:rPr>
        <w:t xml:space="preserve"> (в редакции от </w:t>
      </w:r>
      <w:r w:rsidR="00B83255">
        <w:rPr>
          <w:spacing w:val="-4"/>
          <w:lang w:eastAsia="en-US"/>
        </w:rPr>
        <w:t>25.09</w:t>
      </w:r>
      <w:r>
        <w:rPr>
          <w:spacing w:val="-4"/>
          <w:lang w:eastAsia="en-US"/>
        </w:rPr>
        <w:t>.2015) утверждены следующие основные характеристики бюджета области на 2014 год</w:t>
      </w:r>
      <w:r w:rsidR="00BF16E0">
        <w:rPr>
          <w:spacing w:val="-4"/>
          <w:lang w:eastAsia="en-US"/>
        </w:rPr>
        <w:t>:</w:t>
      </w:r>
    </w:p>
    <w:p w:rsidR="00915129" w:rsidRPr="00B83255" w:rsidRDefault="00915129" w:rsidP="00DE1171">
      <w:pPr>
        <w:pStyle w:val="ConsPlusNormal"/>
        <w:ind w:firstLine="709"/>
        <w:jc w:val="both"/>
        <w:rPr>
          <w:spacing w:val="-4"/>
          <w:lang w:eastAsia="en-US"/>
        </w:rPr>
      </w:pPr>
      <w:r>
        <w:t xml:space="preserve">общий объем доходов бюджета области </w:t>
      </w:r>
      <w:r w:rsidR="00360A7F">
        <w:t>–</w:t>
      </w:r>
      <w:r w:rsidRPr="00B83255">
        <w:rPr>
          <w:spacing w:val="-4"/>
          <w:lang w:eastAsia="en-US"/>
        </w:rPr>
        <w:t xml:space="preserve"> </w:t>
      </w:r>
      <w:r w:rsidR="00B83255" w:rsidRPr="00B83255">
        <w:rPr>
          <w:spacing w:val="-4"/>
          <w:lang w:eastAsia="en-US"/>
        </w:rPr>
        <w:t>63 539 728,8</w:t>
      </w:r>
      <w:r w:rsidRPr="00B83255">
        <w:rPr>
          <w:spacing w:val="-4"/>
          <w:lang w:eastAsia="en-US"/>
        </w:rPr>
        <w:t xml:space="preserve"> тыс. рублей;</w:t>
      </w:r>
    </w:p>
    <w:p w:rsidR="00915129" w:rsidRPr="00B83255" w:rsidRDefault="00915129" w:rsidP="00DE1171">
      <w:pPr>
        <w:pStyle w:val="ConsPlusNormal"/>
        <w:ind w:firstLine="709"/>
        <w:jc w:val="both"/>
        <w:rPr>
          <w:spacing w:val="-4"/>
          <w:lang w:eastAsia="en-US"/>
        </w:rPr>
      </w:pPr>
      <w:r w:rsidRPr="00B83255">
        <w:rPr>
          <w:spacing w:val="-4"/>
          <w:lang w:eastAsia="en-US"/>
        </w:rPr>
        <w:t xml:space="preserve">общий объем расходов бюджета области </w:t>
      </w:r>
      <w:r w:rsidR="00360A7F">
        <w:rPr>
          <w:spacing w:val="-4"/>
          <w:lang w:eastAsia="en-US"/>
        </w:rPr>
        <w:t>–</w:t>
      </w:r>
      <w:r w:rsidRPr="00B83255">
        <w:rPr>
          <w:spacing w:val="-4"/>
          <w:lang w:eastAsia="en-US"/>
        </w:rPr>
        <w:t xml:space="preserve"> </w:t>
      </w:r>
      <w:r w:rsidR="00B83255" w:rsidRPr="00B83255">
        <w:rPr>
          <w:spacing w:val="-4"/>
          <w:lang w:eastAsia="en-US"/>
        </w:rPr>
        <w:t xml:space="preserve">66 516 042,2 </w:t>
      </w:r>
      <w:r w:rsidRPr="00B83255">
        <w:rPr>
          <w:spacing w:val="-4"/>
          <w:lang w:eastAsia="en-US"/>
        </w:rPr>
        <w:t>тыс. рублей;</w:t>
      </w:r>
    </w:p>
    <w:p w:rsidR="00915129" w:rsidRDefault="00915129" w:rsidP="00DE1171">
      <w:pPr>
        <w:pStyle w:val="ConsPlusNormal"/>
        <w:ind w:firstLine="709"/>
        <w:jc w:val="both"/>
      </w:pPr>
      <w:r>
        <w:t xml:space="preserve">дефицит бюджета области </w:t>
      </w:r>
      <w:r w:rsidR="00360A7F">
        <w:t>–</w:t>
      </w:r>
      <w:r>
        <w:t xml:space="preserve"> 2</w:t>
      </w:r>
      <w:r w:rsidR="00761740">
        <w:t> </w:t>
      </w:r>
      <w:r>
        <w:t>976</w:t>
      </w:r>
      <w:r w:rsidR="00761740">
        <w:t> </w:t>
      </w:r>
      <w:r>
        <w:t>313,4 тыс. рублей.</w:t>
      </w:r>
    </w:p>
    <w:p w:rsidR="00761740" w:rsidRDefault="00761740" w:rsidP="00DE1171">
      <w:pPr>
        <w:pStyle w:val="ConsPlusNormal"/>
        <w:ind w:firstLine="709"/>
        <w:jc w:val="both"/>
      </w:pPr>
      <w:r>
        <w:t xml:space="preserve">Объем безвозмездных поступлений в бюджет области из федерального бюджета утвержден в сумме </w:t>
      </w:r>
      <w:r w:rsidR="00B83255" w:rsidRPr="00B83255">
        <w:t>12 208 713,4</w:t>
      </w:r>
      <w:r>
        <w:t xml:space="preserve"> тыс. рублей</w:t>
      </w:r>
      <w:r w:rsidR="00360A7F">
        <w:t>.</w:t>
      </w:r>
    </w:p>
    <w:p w:rsidR="0017113D" w:rsidRDefault="0017113D" w:rsidP="00DE1171">
      <w:pPr>
        <w:pStyle w:val="ConsPlusNormal"/>
        <w:ind w:firstLine="709"/>
        <w:jc w:val="both"/>
      </w:pPr>
    </w:p>
    <w:p w:rsidR="002725D8" w:rsidRDefault="002725D8" w:rsidP="002725D8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доля налоговых и неналоговых доходов  в общем объеме доходов бюджета Тульской области составила 80,7%, в 2015 году –78,8%.</w:t>
      </w:r>
    </w:p>
    <w:p w:rsidR="002725D8" w:rsidRDefault="002725D8" w:rsidP="002725D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00A6C">
        <w:rPr>
          <w:rFonts w:ascii="Times New Roman" w:hAnsi="Times New Roman"/>
          <w:spacing w:val="-4"/>
          <w:sz w:val="28"/>
          <w:szCs w:val="28"/>
        </w:rPr>
        <w:t xml:space="preserve">В 2014 году </w:t>
      </w:r>
      <w:r>
        <w:rPr>
          <w:rFonts w:ascii="Times New Roman" w:hAnsi="Times New Roman"/>
          <w:spacing w:val="-4"/>
          <w:sz w:val="28"/>
          <w:szCs w:val="28"/>
        </w:rPr>
        <w:t>о</w:t>
      </w:r>
      <w:r w:rsidRPr="00A00A6C">
        <w:rPr>
          <w:rFonts w:ascii="Times New Roman" w:hAnsi="Times New Roman"/>
          <w:spacing w:val="-4"/>
          <w:sz w:val="28"/>
          <w:szCs w:val="28"/>
        </w:rPr>
        <w:t>беспеченность собственны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A00A6C">
        <w:rPr>
          <w:rFonts w:ascii="Times New Roman" w:hAnsi="Times New Roman"/>
          <w:spacing w:val="-4"/>
          <w:sz w:val="28"/>
          <w:szCs w:val="28"/>
        </w:rPr>
        <w:t xml:space="preserve"> расход</w:t>
      </w:r>
      <w:r>
        <w:rPr>
          <w:rFonts w:ascii="Times New Roman" w:hAnsi="Times New Roman"/>
          <w:spacing w:val="-4"/>
          <w:sz w:val="28"/>
          <w:szCs w:val="28"/>
        </w:rPr>
        <w:t>ов</w:t>
      </w:r>
      <w:r w:rsidRPr="00A00A6C">
        <w:rPr>
          <w:rFonts w:ascii="Times New Roman" w:hAnsi="Times New Roman"/>
          <w:spacing w:val="-4"/>
          <w:sz w:val="28"/>
          <w:szCs w:val="28"/>
        </w:rPr>
        <w:t xml:space="preserve"> бюджета области </w:t>
      </w:r>
      <w:r>
        <w:rPr>
          <w:rFonts w:ascii="Times New Roman" w:hAnsi="Times New Roman"/>
          <w:spacing w:val="-4"/>
          <w:sz w:val="28"/>
          <w:szCs w:val="28"/>
        </w:rPr>
        <w:t xml:space="preserve">налоговыми </w:t>
      </w:r>
      <w:r w:rsidRPr="00A00A6C">
        <w:rPr>
          <w:rFonts w:ascii="Times New Roman" w:hAnsi="Times New Roman"/>
          <w:spacing w:val="-4"/>
          <w:sz w:val="28"/>
          <w:szCs w:val="28"/>
        </w:rPr>
        <w:t>и неналоговыми доходами составила 82,7%</w:t>
      </w:r>
      <w:r>
        <w:rPr>
          <w:rFonts w:ascii="Times New Roman" w:hAnsi="Times New Roman"/>
          <w:spacing w:val="-4"/>
          <w:sz w:val="28"/>
          <w:szCs w:val="28"/>
        </w:rPr>
        <w:t>, в 2015 году, исходя из плановых показателей, – 82,0%. Таким образом, расходы бюджета Тульской области в значительной мере обеспечены налоговыми и неналоговыми поступлениями.</w:t>
      </w:r>
    </w:p>
    <w:p w:rsidR="002725D8" w:rsidRDefault="002725D8" w:rsidP="002725D8">
      <w:pPr>
        <w:pStyle w:val="a3"/>
        <w:numPr>
          <w:ilvl w:val="0"/>
          <w:numId w:val="27"/>
        </w:numPr>
        <w:tabs>
          <w:tab w:val="left" w:pos="426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743">
        <w:rPr>
          <w:rFonts w:ascii="Times New Roman" w:hAnsi="Times New Roman"/>
          <w:sz w:val="28"/>
          <w:szCs w:val="28"/>
        </w:rPr>
        <w:t>В 2014 году объем финансовой помощи</w:t>
      </w:r>
      <w:r>
        <w:rPr>
          <w:rFonts w:ascii="Times New Roman" w:hAnsi="Times New Roman"/>
          <w:sz w:val="28"/>
          <w:szCs w:val="28"/>
        </w:rPr>
        <w:t>, предоставленной Тульской области</w:t>
      </w:r>
      <w:r w:rsidRPr="001C4743">
        <w:rPr>
          <w:rFonts w:ascii="Times New Roman" w:hAnsi="Times New Roman"/>
          <w:sz w:val="28"/>
          <w:szCs w:val="28"/>
        </w:rPr>
        <w:t xml:space="preserve"> из федерального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1C4743">
        <w:rPr>
          <w:rFonts w:ascii="Times New Roman" w:hAnsi="Times New Roman"/>
          <w:sz w:val="28"/>
          <w:szCs w:val="28"/>
        </w:rPr>
        <w:t xml:space="preserve"> составил 6 902 634,2 тыс. рублей</w:t>
      </w:r>
      <w:r>
        <w:rPr>
          <w:rFonts w:ascii="Times New Roman" w:hAnsi="Times New Roman"/>
          <w:sz w:val="28"/>
          <w:szCs w:val="28"/>
        </w:rPr>
        <w:t xml:space="preserve"> (119,7% к уровню 2013 года). В общем объеме доходов бюджета Тульской области 2014 года доля  финансовой помощи из федерального бюджета составила 11,2%. </w:t>
      </w:r>
    </w:p>
    <w:p w:rsidR="002725D8" w:rsidRDefault="002725D8" w:rsidP="00272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CE">
        <w:rPr>
          <w:rFonts w:ascii="Times New Roman" w:hAnsi="Times New Roman"/>
          <w:sz w:val="28"/>
          <w:szCs w:val="28"/>
        </w:rPr>
        <w:t xml:space="preserve">В 2015 году к уровню 2014 года общий объем финансовой помощи, предоставляемой Тульской области из федерального бюджета, сокращается на 1 123 650,9 тыс. рублей, или на 16,3%,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8CE">
        <w:rPr>
          <w:rFonts w:ascii="Times New Roman" w:hAnsi="Times New Roman"/>
          <w:sz w:val="28"/>
          <w:szCs w:val="28"/>
        </w:rPr>
        <w:t xml:space="preserve">а ее доля в общем объеме </w:t>
      </w:r>
      <w:r>
        <w:rPr>
          <w:rFonts w:ascii="Times New Roman" w:hAnsi="Times New Roman"/>
          <w:sz w:val="28"/>
          <w:szCs w:val="28"/>
        </w:rPr>
        <w:t xml:space="preserve">доходов бюджета Тульской области уменьшается на 2,1 процентного пункта (составляет 9,1%). </w:t>
      </w:r>
    </w:p>
    <w:p w:rsidR="002725D8" w:rsidRPr="00240CFC" w:rsidRDefault="002725D8" w:rsidP="002725D8">
      <w:pPr>
        <w:pStyle w:val="a3"/>
        <w:numPr>
          <w:ilvl w:val="0"/>
          <w:numId w:val="27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0CFC">
        <w:rPr>
          <w:rFonts w:ascii="Times New Roman" w:hAnsi="Times New Roman"/>
          <w:sz w:val="28"/>
          <w:szCs w:val="28"/>
        </w:rPr>
        <w:t xml:space="preserve">В 2014 году общий объем дотаций, предоставленных из федерального бюджета, составил 3 135 476,2 тыс. рублей. В 2015 году объем предоставляемых дотаций сокращается к уровню 2014 года в 1,7 раза, их доля в общем объеме межбюджетных трансфертов из федерального бюджета уменьшается на 15,6 процентного пункта (до 15,1%). </w:t>
      </w:r>
    </w:p>
    <w:p w:rsidR="002725D8" w:rsidRDefault="002725D8" w:rsidP="00272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объем дотаций на выравнивание бюджетной обеспеченности снижается на 15,1%; дотаций </w:t>
      </w:r>
      <w:r w:rsidRPr="008D1B43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– в 2,8 раза (за счет сокращения в 2 раза дотаций на частичную компенсацию дополнительных расходов на повышение оплаты труда работников бюджетной сферы; кроме того, на 2015 год в федеральном бюджете не предусматривается </w:t>
      </w:r>
      <w:r w:rsidRPr="00622186">
        <w:rPr>
          <w:rFonts w:ascii="Times New Roman" w:hAnsi="Times New Roman"/>
          <w:sz w:val="28"/>
          <w:szCs w:val="28"/>
        </w:rPr>
        <w:t>дотация на компенсацию потерь, возникающих при разграничении полномочий между федеральными органами государственной власти, органами государственной власти субъектов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622186">
        <w:rPr>
          <w:rFonts w:ascii="Times New Roman" w:hAnsi="Times New Roman"/>
          <w:sz w:val="28"/>
          <w:szCs w:val="28"/>
        </w:rPr>
        <w:t xml:space="preserve">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объем которой в 2014 году для Тульской области составлял </w:t>
      </w:r>
      <w:r w:rsidRPr="009A73C1">
        <w:rPr>
          <w:rFonts w:ascii="Times New Roman" w:hAnsi="Times New Roman"/>
          <w:sz w:val="28"/>
          <w:szCs w:val="28"/>
        </w:rPr>
        <w:t>117 369,0 тыс. рублей (</w:t>
      </w:r>
      <w:r>
        <w:rPr>
          <w:rFonts w:ascii="Times New Roman" w:hAnsi="Times New Roman"/>
          <w:sz w:val="28"/>
          <w:szCs w:val="28"/>
        </w:rPr>
        <w:t>в 2013 году – 235 089,0 тыс. рублей)).</w:t>
      </w:r>
    </w:p>
    <w:p w:rsidR="002725D8" w:rsidRPr="00240CFC" w:rsidRDefault="002725D8" w:rsidP="002725D8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CFC">
        <w:rPr>
          <w:rFonts w:ascii="Times New Roman" w:hAnsi="Times New Roman"/>
          <w:sz w:val="28"/>
          <w:szCs w:val="28"/>
        </w:rPr>
        <w:t xml:space="preserve">В 2014 году объем </w:t>
      </w:r>
      <w:r>
        <w:rPr>
          <w:rFonts w:ascii="Times New Roman" w:hAnsi="Times New Roman"/>
          <w:sz w:val="28"/>
          <w:szCs w:val="28"/>
        </w:rPr>
        <w:t>субсидий</w:t>
      </w:r>
      <w:r w:rsidRPr="00240CFC">
        <w:rPr>
          <w:rFonts w:ascii="Times New Roman" w:hAnsi="Times New Roman"/>
          <w:sz w:val="28"/>
          <w:szCs w:val="28"/>
        </w:rPr>
        <w:t>, предоставленн</w:t>
      </w:r>
      <w:r>
        <w:rPr>
          <w:rFonts w:ascii="Times New Roman" w:hAnsi="Times New Roman"/>
          <w:sz w:val="28"/>
          <w:szCs w:val="28"/>
        </w:rPr>
        <w:t>ых</w:t>
      </w:r>
      <w:r w:rsidRPr="00240CFC">
        <w:rPr>
          <w:rFonts w:ascii="Times New Roman" w:hAnsi="Times New Roman"/>
          <w:sz w:val="28"/>
          <w:szCs w:val="28"/>
        </w:rPr>
        <w:t xml:space="preserve"> из федерального бюджета на условиях софинансирования, составил 3 280 665,9 тыс. рублей (100,4% к уровню 2013 года). Общий объем субсидий, предусмотренных в бюджете Тульской области на 2015 год, составляет 2 325 361,1 тыс. рублей, что на 29,1% ниже уровня 2014 года. </w:t>
      </w:r>
    </w:p>
    <w:p w:rsidR="002725D8" w:rsidRPr="00240CFC" w:rsidRDefault="002725D8" w:rsidP="001821EB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0CFC">
        <w:rPr>
          <w:rFonts w:ascii="Times New Roman" w:hAnsi="Times New Roman"/>
          <w:sz w:val="28"/>
          <w:szCs w:val="28"/>
        </w:rPr>
        <w:t xml:space="preserve">При сокращении объема дотаций и субсидий объем иных межбюджетных трансфертов в 2015 году увеличивается в 3,3 раза </w:t>
      </w:r>
      <w:r>
        <w:rPr>
          <w:rFonts w:ascii="Times New Roman" w:hAnsi="Times New Roman"/>
          <w:sz w:val="28"/>
          <w:szCs w:val="28"/>
        </w:rPr>
        <w:t>относительно</w:t>
      </w:r>
      <w:r w:rsidRPr="00240CFC">
        <w:rPr>
          <w:rFonts w:ascii="Times New Roman" w:hAnsi="Times New Roman"/>
          <w:sz w:val="28"/>
          <w:szCs w:val="28"/>
        </w:rPr>
        <w:t xml:space="preserve"> 2014 года</w:t>
      </w:r>
      <w:r>
        <w:rPr>
          <w:rFonts w:ascii="Times New Roman" w:hAnsi="Times New Roman"/>
          <w:sz w:val="28"/>
          <w:szCs w:val="28"/>
        </w:rPr>
        <w:t xml:space="preserve"> (486 492,1 тыс. рублей) и в 5,2 раза  относительно</w:t>
      </w:r>
      <w:r w:rsidRPr="00240CFC">
        <w:rPr>
          <w:rFonts w:ascii="Times New Roman" w:hAnsi="Times New Roman"/>
          <w:sz w:val="28"/>
          <w:szCs w:val="28"/>
        </w:rPr>
        <w:t xml:space="preserve"> 2013 года</w:t>
      </w:r>
      <w:r>
        <w:rPr>
          <w:rFonts w:ascii="Times New Roman" w:hAnsi="Times New Roman"/>
          <w:sz w:val="28"/>
          <w:szCs w:val="28"/>
        </w:rPr>
        <w:t>.</w:t>
      </w:r>
      <w:r w:rsidRPr="00240CFC">
        <w:rPr>
          <w:rFonts w:ascii="Times New Roman" w:hAnsi="Times New Roman"/>
          <w:sz w:val="28"/>
          <w:szCs w:val="28"/>
        </w:rPr>
        <w:t xml:space="preserve"> </w:t>
      </w:r>
    </w:p>
    <w:p w:rsidR="002725D8" w:rsidRDefault="002725D8" w:rsidP="001821EB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финансовая помощь в части субсидий и иных межбюджетных трансфертов  (56 субсидий и 22 вида иных межбюджетных трансфертов) поступила в бюджет Тульской области от 21 главного распорядителя средств федерального бюджета.</w:t>
      </w:r>
    </w:p>
    <w:p w:rsidR="002725D8" w:rsidRDefault="002725D8" w:rsidP="002725D8">
      <w:pPr>
        <w:pStyle w:val="a3"/>
        <w:tabs>
          <w:tab w:val="left" w:pos="42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694F">
        <w:rPr>
          <w:rFonts w:ascii="Times New Roman" w:hAnsi="Times New Roman"/>
          <w:sz w:val="28"/>
          <w:szCs w:val="28"/>
        </w:rPr>
        <w:t>сновная часть финансовой помощи поступила от Министерства сельского хозяйства Российской Федерации (36,5% всех поступлений); Министерства образования и науки Российской Федерации (17,9%); Министерства здравоохранения Российской Федерации (16,0%); Министерства экономического развития Российской Федерации (7,5%); Министерства труда и социальной защиты Российской Федерации (5,6%).</w:t>
      </w:r>
    </w:p>
    <w:p w:rsidR="002725D8" w:rsidRPr="00E3315A" w:rsidRDefault="002725D8" w:rsidP="001821EB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1EB">
        <w:rPr>
          <w:rFonts w:ascii="Times New Roman" w:hAnsi="Times New Roman"/>
          <w:sz w:val="28"/>
          <w:szCs w:val="28"/>
        </w:rPr>
        <w:t xml:space="preserve">Общий объем расходов консолидированного бюджета Тульской области, осуществленных в 2014 году за счет субсидий и иных межбюджетных трансфертов, составил 3 403 394,7 тыс. рублей, в том числе за счет субсидий – 2 877 196,0 тыс. рублей, за счет иных межбюджетных трансфертов – 526 198,6 тыс. рублей. </w:t>
      </w:r>
      <w:r w:rsidRPr="00E3315A">
        <w:rPr>
          <w:rFonts w:ascii="Times New Roman" w:hAnsi="Times New Roman"/>
          <w:sz w:val="28"/>
          <w:szCs w:val="28"/>
        </w:rPr>
        <w:t>Наибольшая доля указанных расходов приходится на следующие разделы бюджетной классификации расходов 0400 «Национальная экономика» (46,2 %); 0700 «Образование» (21,9%)</w:t>
      </w:r>
      <w:r w:rsidR="004849F7">
        <w:rPr>
          <w:rFonts w:ascii="Times New Roman" w:hAnsi="Times New Roman"/>
          <w:sz w:val="28"/>
          <w:szCs w:val="28"/>
        </w:rPr>
        <w:t>;</w:t>
      </w:r>
      <w:r w:rsidRPr="00E3315A">
        <w:rPr>
          <w:rFonts w:ascii="Times New Roman" w:hAnsi="Times New Roman"/>
          <w:sz w:val="28"/>
          <w:szCs w:val="28"/>
        </w:rPr>
        <w:t xml:space="preserve"> 0900 «Здравоохранение» (11,4 %) и 1000 «Социальная политика» (11,4%). </w:t>
      </w:r>
    </w:p>
    <w:p w:rsidR="002725D8" w:rsidRDefault="002725D8" w:rsidP="001821EB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179B">
        <w:rPr>
          <w:rFonts w:ascii="Times New Roman" w:hAnsi="Times New Roman"/>
          <w:sz w:val="28"/>
          <w:szCs w:val="28"/>
        </w:rPr>
        <w:t xml:space="preserve"> 2014 году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7179B">
        <w:rPr>
          <w:rFonts w:ascii="Times New Roman" w:hAnsi="Times New Roman"/>
          <w:sz w:val="28"/>
          <w:szCs w:val="28"/>
        </w:rPr>
        <w:t xml:space="preserve">бщий уровень использования средств федерального бюджета составил 83,9%, в том числе по субсидиям – 83,5%, иным межбюджетным трансфертам – 85,7%. </w:t>
      </w:r>
    </w:p>
    <w:p w:rsidR="002725D8" w:rsidRDefault="002725D8" w:rsidP="002725D8">
      <w:pPr>
        <w:pStyle w:val="a3"/>
        <w:autoSpaceDE w:val="0"/>
        <w:autoSpaceDN w:val="0"/>
        <w:adjustRightInd w:val="0"/>
        <w:spacing w:before="120" w:after="0" w:line="240" w:lineRule="auto"/>
        <w:ind w:left="0"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78 видов целевых межбюджетных трансфертов на 100% использованы средства 25 субсидий и 8 видов иных межбюджетных трансфертов (общий объем использованной финансовой помощи – 1 178 341,4 тыс. рублей, или 29,0% от общего объема поступивших средств); от 95% до 100% использованы средства 13 субсидий и 6 видов иных межбюджетных трансфертов (общий объем использованной финансовой помощи – 1 008 666,1 тыс. рублей, или 24,9%).</w:t>
      </w:r>
    </w:p>
    <w:p w:rsidR="002725D8" w:rsidRDefault="002725D8" w:rsidP="002725D8">
      <w:pPr>
        <w:pStyle w:val="a3"/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использования средств финансовой помощи (от 60% до 95%) отмечается по 8 субсидиям и по 5 видам иных межбюджетных трансфертов (общий объем использованной финансовой помощи – 1 293 685,9 тыс. рублей, или 31,9%); низкий уровень (до 65%) – по 5 субсидиям и по 1 виду </w:t>
      </w:r>
      <w:r>
        <w:rPr>
          <w:rFonts w:ascii="Times New Roman" w:hAnsi="Times New Roman"/>
          <w:sz w:val="28"/>
          <w:szCs w:val="28"/>
        </w:rPr>
        <w:lastRenderedPageBreak/>
        <w:t xml:space="preserve">иных межбюджетных трансфертов (общий объем использованной финансовой помощи – 473 030,5 тыс. рублей, или 11,7%).  </w:t>
      </w:r>
    </w:p>
    <w:p w:rsidR="002725D8" w:rsidRDefault="002725D8" w:rsidP="002725D8">
      <w:pPr>
        <w:pStyle w:val="a3"/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433B">
        <w:rPr>
          <w:rFonts w:ascii="Times New Roman" w:hAnsi="Times New Roman"/>
          <w:sz w:val="28"/>
          <w:szCs w:val="28"/>
        </w:rPr>
        <w:t>о 7 видам межбюджетны</w:t>
      </w:r>
      <w:r>
        <w:rPr>
          <w:rFonts w:ascii="Times New Roman" w:hAnsi="Times New Roman"/>
          <w:sz w:val="28"/>
          <w:szCs w:val="28"/>
        </w:rPr>
        <w:t>м</w:t>
      </w:r>
      <w:r w:rsidRPr="00E8433B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 xml:space="preserve">ам средства с общим объемом финансирования </w:t>
      </w:r>
      <w:r w:rsidRPr="00E8433B">
        <w:rPr>
          <w:rFonts w:ascii="Times New Roman" w:hAnsi="Times New Roman"/>
          <w:sz w:val="28"/>
          <w:szCs w:val="28"/>
        </w:rPr>
        <w:t>104 921,0 тыс. 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3B">
        <w:rPr>
          <w:rFonts w:ascii="Times New Roman" w:hAnsi="Times New Roman"/>
          <w:sz w:val="28"/>
          <w:szCs w:val="28"/>
        </w:rPr>
        <w:t xml:space="preserve">(2,5% от суммы предоставленных средств) </w:t>
      </w:r>
      <w:r>
        <w:rPr>
          <w:rFonts w:ascii="Times New Roman" w:hAnsi="Times New Roman"/>
          <w:sz w:val="28"/>
          <w:szCs w:val="28"/>
        </w:rPr>
        <w:t xml:space="preserve">на конец года остались неиспользованными в полном объеме. При этом следует отметить, что </w:t>
      </w:r>
      <w:r w:rsidRPr="00E8433B">
        <w:rPr>
          <w:rFonts w:ascii="Times New Roman" w:hAnsi="Times New Roman"/>
          <w:sz w:val="28"/>
          <w:szCs w:val="28"/>
        </w:rPr>
        <w:t xml:space="preserve">60 540,2 тыс. рублей </w:t>
      </w:r>
      <w:r>
        <w:rPr>
          <w:rFonts w:ascii="Times New Roman" w:hAnsi="Times New Roman"/>
          <w:sz w:val="28"/>
          <w:szCs w:val="28"/>
        </w:rPr>
        <w:t xml:space="preserve">по данным межбюджетным трансфертам </w:t>
      </w:r>
      <w:r w:rsidRPr="00E843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оступили в бюджет области в четвертом квартале 2014 года.</w:t>
      </w:r>
      <w:r w:rsidRPr="00E8433B">
        <w:rPr>
          <w:rFonts w:ascii="Times New Roman" w:hAnsi="Times New Roman"/>
          <w:sz w:val="28"/>
          <w:szCs w:val="28"/>
        </w:rPr>
        <w:t xml:space="preserve"> </w:t>
      </w:r>
    </w:p>
    <w:p w:rsidR="002725D8" w:rsidRPr="001821EB" w:rsidRDefault="002725D8" w:rsidP="001821EB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409B">
        <w:rPr>
          <w:rFonts w:ascii="Times New Roman" w:hAnsi="Times New Roman"/>
          <w:sz w:val="28"/>
          <w:szCs w:val="28"/>
        </w:rPr>
        <w:t xml:space="preserve">По состоянию на 01.01.2015 остатки </w:t>
      </w:r>
      <w:r>
        <w:rPr>
          <w:rFonts w:ascii="Times New Roman" w:hAnsi="Times New Roman"/>
          <w:sz w:val="28"/>
          <w:szCs w:val="28"/>
        </w:rPr>
        <w:t xml:space="preserve">неиспользованных средств </w:t>
      </w:r>
      <w:r w:rsidRPr="001821EB">
        <w:rPr>
          <w:rFonts w:ascii="Times New Roman" w:hAnsi="Times New Roman"/>
          <w:sz w:val="28"/>
          <w:szCs w:val="28"/>
        </w:rPr>
        <w:t xml:space="preserve">субсидий и иных межбюджетных трансфертов, полученных из федерального бюджета, составили </w:t>
      </w:r>
      <w:r w:rsidRPr="002B409B">
        <w:rPr>
          <w:rFonts w:ascii="Times New Roman" w:hAnsi="Times New Roman"/>
          <w:sz w:val="28"/>
          <w:szCs w:val="28"/>
        </w:rPr>
        <w:t xml:space="preserve">655 254,5 тыс. рублей. </w:t>
      </w:r>
      <w:r w:rsidRPr="001821EB">
        <w:rPr>
          <w:rFonts w:ascii="Times New Roman" w:hAnsi="Times New Roman"/>
          <w:sz w:val="28"/>
          <w:szCs w:val="28"/>
        </w:rPr>
        <w:t>Основными причинами их образования являются: позднее поступление средств из федерального бюджета (39,7% поступлений приходится на четвертый квартал), длительность конкурентных процедур, образование экономии по итогам конкурентных процедур, невыполнение получателями субсидий условий их предоставления, ненадлежащее исполнение условий контрактов и ведение претензионной работы, образование остатка в сумме, меньшей размера выплаты (в случае субсидий и иных межбюджетных трансфертов, предназначенных для улучшения жилищных условий граждан), изменение фактической потребности по сравнению с показателями, используемыми при расчете объема межбюджетных трансфертов (уменьшение фактической численности получателей выплат, утрата получателями выплат права на их получение, отсутствие обращений за предоставлением выплаты), по субсидиям на софинансирование капитальных вложений – длительное прохождение государственной экспертизы проектной документации.</w:t>
      </w:r>
    </w:p>
    <w:p w:rsidR="002725D8" w:rsidRPr="00395180" w:rsidRDefault="002725D8" w:rsidP="002725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180">
        <w:rPr>
          <w:rFonts w:ascii="Times New Roman" w:eastAsia="Times New Roman" w:hAnsi="Times New Roman"/>
          <w:sz w:val="28"/>
          <w:szCs w:val="28"/>
          <w:lang w:eastAsia="ru-RU"/>
        </w:rPr>
        <w:t>В 2015 году возврат подтвержденных остатков целевых межбюджетных трансфертов составил 590 931,8 тыс. рублей, или 90,2% от объема остатка, сложившегося на начало года.</w:t>
      </w:r>
    </w:p>
    <w:p w:rsidR="002725D8" w:rsidRPr="00E8433B" w:rsidRDefault="002725D8" w:rsidP="001821EB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433B">
        <w:rPr>
          <w:rFonts w:ascii="Times New Roman" w:hAnsi="Times New Roman"/>
          <w:sz w:val="28"/>
          <w:szCs w:val="28"/>
        </w:rPr>
        <w:t>Показатели результативности использования субсидий, установление которых предусматривается Постановлением Правительства Российской Федерации от 30.09.2014 № 999, установлены в отношении большинства субсидий за исключением субсидии на подготовку управленческих кадров для организаций народного хозяйства Российской Федерации в рамках подпрограммы «Кадры для инновационной экономики» государственной программы Российской Федерации «Экономическое развитие и инновационная экономика» (главный распорядитель средств федерального бюджета – Министерство экономического развития Российской Федерации).</w:t>
      </w:r>
    </w:p>
    <w:p w:rsidR="002725D8" w:rsidRPr="0058357D" w:rsidRDefault="002725D8" w:rsidP="002725D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</w:t>
      </w:r>
      <w:r w:rsidRPr="0058357D">
        <w:rPr>
          <w:rFonts w:ascii="Times New Roman" w:hAnsi="Times New Roman"/>
          <w:sz w:val="28"/>
          <w:szCs w:val="28"/>
        </w:rPr>
        <w:t>показатели результативности не установлены в отношении следующих субсидий:</w:t>
      </w:r>
    </w:p>
    <w:p w:rsidR="002725D8" w:rsidRDefault="002725D8" w:rsidP="002725D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58357D">
        <w:rPr>
          <w:rFonts w:ascii="Times New Roman" w:hAnsi="Times New Roman"/>
          <w:sz w:val="28"/>
          <w:szCs w:val="28"/>
        </w:rPr>
        <w:t xml:space="preserve">на реализацию мероприятий федеральной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58357D">
        <w:rPr>
          <w:rFonts w:ascii="Times New Roman" w:hAnsi="Times New Roman"/>
          <w:sz w:val="28"/>
          <w:szCs w:val="28"/>
        </w:rPr>
        <w:t>Укрепление единства российской нации и этнокультурное развитие народов России (2014-2020 годы)</w:t>
      </w:r>
      <w:r>
        <w:rPr>
          <w:rFonts w:ascii="Times New Roman" w:hAnsi="Times New Roman"/>
          <w:sz w:val="28"/>
          <w:szCs w:val="28"/>
        </w:rPr>
        <w:t>»</w:t>
      </w:r>
      <w:r w:rsidRPr="0058357D">
        <w:rPr>
          <w:rFonts w:ascii="Times New Roman" w:hAnsi="Times New Roman"/>
          <w:sz w:val="28"/>
          <w:szCs w:val="28"/>
        </w:rPr>
        <w:t xml:space="preserve"> в рамках государственной программы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58357D"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sz w:val="28"/>
          <w:szCs w:val="28"/>
        </w:rPr>
        <w:t>»</w:t>
      </w:r>
      <w:r w:rsidRPr="0058357D">
        <w:rPr>
          <w:rFonts w:ascii="Times New Roman" w:hAnsi="Times New Roman"/>
          <w:sz w:val="28"/>
          <w:szCs w:val="28"/>
        </w:rPr>
        <w:t xml:space="preserve"> на 2013-2020 годы</w:t>
      </w:r>
      <w:r>
        <w:rPr>
          <w:rFonts w:ascii="Times New Roman" w:hAnsi="Times New Roman"/>
          <w:sz w:val="28"/>
          <w:szCs w:val="28"/>
        </w:rPr>
        <w:t xml:space="preserve"> (главный </w:t>
      </w:r>
      <w:r>
        <w:rPr>
          <w:rFonts w:ascii="Times New Roman" w:hAnsi="Times New Roman"/>
          <w:sz w:val="28"/>
          <w:szCs w:val="28"/>
        </w:rPr>
        <w:lastRenderedPageBreak/>
        <w:t>распорядитель средств федерального бюджета – Министерство культуры Российской Федерации);</w:t>
      </w:r>
    </w:p>
    <w:p w:rsidR="002725D8" w:rsidRDefault="002725D8" w:rsidP="002725D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58357D">
        <w:rPr>
          <w:rFonts w:ascii="Times New Roman" w:hAnsi="Times New Roman"/>
          <w:sz w:val="28"/>
          <w:szCs w:val="28"/>
        </w:rPr>
        <w:t>на финансовое обеспечение расходов обще</w:t>
      </w:r>
      <w:r>
        <w:rPr>
          <w:rFonts w:ascii="Times New Roman" w:hAnsi="Times New Roman"/>
          <w:sz w:val="28"/>
          <w:szCs w:val="28"/>
        </w:rPr>
        <w:t>-</w:t>
      </w:r>
      <w:r w:rsidRPr="0058357D">
        <w:rPr>
          <w:rFonts w:ascii="Times New Roman" w:hAnsi="Times New Roman"/>
          <w:sz w:val="28"/>
          <w:szCs w:val="28"/>
        </w:rPr>
        <w:t xml:space="preserve">программного характера по федеральной целевой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58357D">
        <w:rPr>
          <w:rFonts w:ascii="Times New Roman" w:hAnsi="Times New Roman"/>
          <w:sz w:val="28"/>
          <w:szCs w:val="28"/>
        </w:rPr>
        <w:t>Развитие физической культуры и спорта в Российской Федерации на 2006-2015 годы</w:t>
      </w:r>
      <w:r>
        <w:rPr>
          <w:rFonts w:ascii="Times New Roman" w:hAnsi="Times New Roman"/>
          <w:sz w:val="28"/>
          <w:szCs w:val="28"/>
        </w:rPr>
        <w:t>»</w:t>
      </w:r>
      <w:r w:rsidRPr="0058357D">
        <w:rPr>
          <w:rFonts w:ascii="Times New Roman" w:hAnsi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58357D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физической культуры и спорта» (главный</w:t>
      </w:r>
      <w:r>
        <w:rPr>
          <w:rFonts w:ascii="Times New Roman" w:hAnsi="Times New Roman"/>
          <w:sz w:val="28"/>
          <w:szCs w:val="28"/>
        </w:rPr>
        <w:tab/>
        <w:t xml:space="preserve"> распорядитель средств федерального бюджета – Министерство спорта Российской Федерации);</w:t>
      </w:r>
    </w:p>
    <w:p w:rsidR="002725D8" w:rsidRDefault="002725D8" w:rsidP="002725D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58357D">
        <w:rPr>
          <w:rFonts w:ascii="Times New Roman" w:hAnsi="Times New Roman"/>
          <w:sz w:val="28"/>
          <w:szCs w:val="28"/>
        </w:rPr>
        <w:t xml:space="preserve">на возмещение части процентной ставки по краткосрочным кредитам (займам) на </w:t>
      </w:r>
      <w:r>
        <w:rPr>
          <w:rFonts w:ascii="Times New Roman" w:hAnsi="Times New Roman"/>
          <w:sz w:val="28"/>
          <w:szCs w:val="28"/>
        </w:rPr>
        <w:t xml:space="preserve">поддержку сельского хозяйства (главный распорядитель средств федерального бюджета – Министерство сельского хозяйства Российской Федерации). </w:t>
      </w:r>
    </w:p>
    <w:p w:rsidR="002725D8" w:rsidRPr="0023464D" w:rsidRDefault="002725D8" w:rsidP="001821EB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целом отмечается высокий уровень сложившихся п</w:t>
      </w:r>
      <w:r w:rsidRPr="0054771C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Pr="0054771C">
        <w:rPr>
          <w:rFonts w:ascii="Times New Roman" w:hAnsi="Times New Roman"/>
          <w:sz w:val="28"/>
          <w:szCs w:val="28"/>
        </w:rPr>
        <w:t xml:space="preserve"> результативности использования межбюджетных трансфертов,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54771C">
        <w:rPr>
          <w:rFonts w:ascii="Times New Roman" w:hAnsi="Times New Roman"/>
          <w:sz w:val="28"/>
          <w:szCs w:val="28"/>
        </w:rPr>
        <w:t xml:space="preserve"> в Соглашениях об их предоставлении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464D">
        <w:rPr>
          <w:rFonts w:ascii="Times New Roman" w:hAnsi="Times New Roman"/>
          <w:sz w:val="28"/>
          <w:szCs w:val="28"/>
        </w:rPr>
        <w:t xml:space="preserve">Из общего количества установленных показателей результативности </w:t>
      </w:r>
      <w:r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  <w:r w:rsidRPr="002346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всего установлено </w:t>
      </w:r>
      <w:r w:rsidRPr="0023464D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показателей</w:t>
      </w:r>
      <w:r w:rsidRPr="0023464D">
        <w:rPr>
          <w:rFonts w:ascii="Times New Roman" w:hAnsi="Times New Roman"/>
          <w:sz w:val="28"/>
          <w:szCs w:val="28"/>
        </w:rPr>
        <w:t>) по итогам 2014 года не исполнены в полном объеме лишь 5, а 101 показател</w:t>
      </w:r>
      <w:r>
        <w:rPr>
          <w:rFonts w:ascii="Times New Roman" w:hAnsi="Times New Roman"/>
          <w:sz w:val="28"/>
          <w:szCs w:val="28"/>
        </w:rPr>
        <w:t>ь</w:t>
      </w:r>
      <w:r w:rsidRPr="0023464D">
        <w:rPr>
          <w:rFonts w:ascii="Times New Roman" w:hAnsi="Times New Roman"/>
          <w:sz w:val="28"/>
          <w:szCs w:val="28"/>
        </w:rPr>
        <w:t xml:space="preserve"> исполнен в полном объеме или частично, в том числе:</w:t>
      </w:r>
    </w:p>
    <w:p w:rsidR="002725D8" w:rsidRDefault="002725D8" w:rsidP="001821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64D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3464D">
        <w:rPr>
          <w:rFonts w:ascii="Times New Roman" w:hAnsi="Times New Roman"/>
          <w:sz w:val="28"/>
          <w:szCs w:val="28"/>
        </w:rPr>
        <w:t xml:space="preserve">80 </w:t>
      </w:r>
      <w:r>
        <w:rPr>
          <w:rFonts w:ascii="Times New Roman" w:hAnsi="Times New Roman"/>
          <w:sz w:val="28"/>
          <w:szCs w:val="28"/>
        </w:rPr>
        <w:t xml:space="preserve">целевым </w:t>
      </w:r>
      <w:r w:rsidRPr="0023464D">
        <w:rPr>
          <w:rFonts w:ascii="Times New Roman" w:hAnsi="Times New Roman"/>
          <w:sz w:val="28"/>
          <w:szCs w:val="28"/>
        </w:rPr>
        <w:t>показател</w:t>
      </w:r>
      <w:r w:rsidR="001821EB">
        <w:rPr>
          <w:rFonts w:ascii="Times New Roman" w:hAnsi="Times New Roman"/>
          <w:sz w:val="28"/>
          <w:szCs w:val="28"/>
        </w:rPr>
        <w:t>ям результативности</w:t>
      </w:r>
      <w:r>
        <w:rPr>
          <w:rFonts w:ascii="Times New Roman" w:hAnsi="Times New Roman"/>
          <w:sz w:val="28"/>
          <w:szCs w:val="28"/>
        </w:rPr>
        <w:t xml:space="preserve"> уровень достижения составил </w:t>
      </w:r>
      <w:r w:rsidRPr="0023464D">
        <w:rPr>
          <w:rFonts w:ascii="Times New Roman" w:hAnsi="Times New Roman"/>
          <w:sz w:val="28"/>
          <w:szCs w:val="28"/>
        </w:rPr>
        <w:t xml:space="preserve">95 и более </w:t>
      </w:r>
      <w:r>
        <w:rPr>
          <w:rFonts w:ascii="Times New Roman" w:hAnsi="Times New Roman"/>
          <w:sz w:val="28"/>
          <w:szCs w:val="28"/>
        </w:rPr>
        <w:t>процентов,</w:t>
      </w:r>
      <w:r w:rsidRPr="0023464D">
        <w:rPr>
          <w:rFonts w:ascii="Times New Roman" w:hAnsi="Times New Roman"/>
          <w:sz w:val="28"/>
          <w:szCs w:val="28"/>
        </w:rPr>
        <w:t xml:space="preserve"> в том числе 40 показателей перевыполнены, из которых 8 перевыполнены более чем в два раза</w:t>
      </w:r>
      <w:r>
        <w:rPr>
          <w:rFonts w:ascii="Times New Roman" w:hAnsi="Times New Roman"/>
          <w:sz w:val="28"/>
          <w:szCs w:val="28"/>
        </w:rPr>
        <w:t>;</w:t>
      </w:r>
      <w:r w:rsidRPr="0023464D">
        <w:rPr>
          <w:rFonts w:ascii="Times New Roman" w:hAnsi="Times New Roman"/>
          <w:sz w:val="28"/>
          <w:szCs w:val="28"/>
        </w:rPr>
        <w:t xml:space="preserve"> </w:t>
      </w:r>
    </w:p>
    <w:p w:rsidR="002725D8" w:rsidRPr="004E373F" w:rsidRDefault="002725D8" w:rsidP="00182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64D">
        <w:rPr>
          <w:rFonts w:ascii="Times New Roman" w:hAnsi="Times New Roman"/>
          <w:sz w:val="28"/>
          <w:szCs w:val="28"/>
        </w:rPr>
        <w:t>– по 17 показателям уровень достижения составил от 50 до 95%</w:t>
      </w:r>
      <w:r>
        <w:rPr>
          <w:rFonts w:ascii="Times New Roman" w:hAnsi="Times New Roman"/>
          <w:sz w:val="28"/>
          <w:szCs w:val="28"/>
        </w:rPr>
        <w:t>;</w:t>
      </w:r>
    </w:p>
    <w:p w:rsidR="002725D8" w:rsidRPr="0023464D" w:rsidRDefault="002725D8" w:rsidP="001821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64D">
        <w:rPr>
          <w:rFonts w:ascii="Times New Roman" w:hAnsi="Times New Roman"/>
          <w:sz w:val="28"/>
          <w:szCs w:val="28"/>
        </w:rPr>
        <w:t xml:space="preserve">– по четырем целевым показателям </w:t>
      </w:r>
      <w:r>
        <w:rPr>
          <w:rFonts w:ascii="Times New Roman" w:hAnsi="Times New Roman"/>
          <w:sz w:val="28"/>
          <w:szCs w:val="28"/>
        </w:rPr>
        <w:t>– менее 50%.</w:t>
      </w:r>
    </w:p>
    <w:p w:rsidR="002725D8" w:rsidRPr="00005E36" w:rsidRDefault="002725D8" w:rsidP="001821EB">
      <w:pPr>
        <w:pStyle w:val="a3"/>
        <w:numPr>
          <w:ilvl w:val="0"/>
          <w:numId w:val="27"/>
        </w:numPr>
        <w:tabs>
          <w:tab w:val="left" w:pos="426"/>
          <w:tab w:val="left" w:pos="851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0CFC">
        <w:rPr>
          <w:rFonts w:ascii="Times New Roman" w:hAnsi="Times New Roman"/>
          <w:sz w:val="28"/>
          <w:szCs w:val="28"/>
        </w:rPr>
        <w:t xml:space="preserve">За 9 месяцев 2015 года объем финансовой помощи из федерального бюджета, поступившей в бюджет Тульской области, составил 4 127 650,9 тыс. рублей, в том числе: в форме дотаций  поступило 1 400 647,0 тыс. рублей (76,1% от годового показателя, учтенного в доходах бюджета области); в форме субсидий – 1 323 049,0 тыс. рублей (56,9%); в форме иных межбюджетных трансфертов – 1 403 954,9 тыс. рублей (87,0%). В общем </w:t>
      </w:r>
      <w:r w:rsidRPr="00005E36">
        <w:rPr>
          <w:rFonts w:ascii="Times New Roman" w:hAnsi="Times New Roman"/>
          <w:sz w:val="28"/>
          <w:szCs w:val="28"/>
        </w:rPr>
        <w:t>объеме доходов бюджета Тульской области на 01.10.2015 доля финансовой помощи составила 9%.</w:t>
      </w:r>
    </w:p>
    <w:p w:rsidR="002725D8" w:rsidRPr="00005E36" w:rsidRDefault="002725D8" w:rsidP="002725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5E36">
        <w:rPr>
          <w:rFonts w:ascii="Times New Roman" w:hAnsi="Times New Roman"/>
          <w:sz w:val="28"/>
          <w:szCs w:val="28"/>
        </w:rPr>
        <w:t xml:space="preserve">В 2015 году финансовая помощь из федерального бюджета в части субсидий и иных межбюджетных трансфертов в бюджет Тульской области направляется от 18 главных распорядителей средств федерального бюджета (всего по 65 видам). </w:t>
      </w:r>
    </w:p>
    <w:p w:rsidR="002725D8" w:rsidRPr="00ED6590" w:rsidRDefault="002725D8" w:rsidP="001821EB">
      <w:pPr>
        <w:pStyle w:val="a3"/>
        <w:spacing w:before="120" w:after="0" w:line="240" w:lineRule="auto"/>
        <w:ind w:left="0" w:firstLine="748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E3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консолидированного бюджета Тульской области, осуществленных за 9 </w:t>
      </w:r>
      <w:r w:rsidRPr="00005E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месяцев 2015 года за счет субсидий и иных межбюджетных трансфертов, составил 1 757 934,9 тыс</w:t>
      </w:r>
      <w:r w:rsidRPr="00005E36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за счет субсидий – </w:t>
      </w:r>
      <w:r w:rsidRPr="00005E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1 172 043,5 </w:t>
      </w:r>
      <w:r w:rsidRPr="00005E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(63,2% от полученных средств), за счет иных межбюджетных трансфертов – </w:t>
      </w:r>
      <w:r w:rsidRPr="00005E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585 891,4 </w:t>
      </w:r>
      <w:r w:rsidRPr="00005E36">
        <w:rPr>
          <w:rFonts w:ascii="Times New Roman" w:eastAsia="Times New Roman" w:hAnsi="Times New Roman"/>
          <w:sz w:val="28"/>
          <w:szCs w:val="28"/>
          <w:lang w:eastAsia="ru-RU"/>
        </w:rPr>
        <w:t>тыс. рублей (39,5%).</w:t>
      </w:r>
      <w:r w:rsidRPr="00ED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25D8" w:rsidRPr="001821EB" w:rsidRDefault="002725D8" w:rsidP="001821EB">
      <w:pPr>
        <w:pStyle w:val="a3"/>
        <w:numPr>
          <w:ilvl w:val="0"/>
          <w:numId w:val="27"/>
        </w:numPr>
        <w:tabs>
          <w:tab w:val="left" w:pos="426"/>
          <w:tab w:val="left" w:pos="851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1EB">
        <w:rPr>
          <w:rFonts w:ascii="Times New Roman" w:hAnsi="Times New Roman"/>
          <w:sz w:val="28"/>
          <w:szCs w:val="28"/>
        </w:rPr>
        <w:t xml:space="preserve">При исполнении бюджета в 2014 году объем погашения долговых обязательств Тульской области превысил разность между доходами бюджета </w:t>
      </w:r>
      <w:r w:rsidRPr="001821EB">
        <w:rPr>
          <w:rFonts w:ascii="Times New Roman" w:hAnsi="Times New Roman"/>
          <w:sz w:val="28"/>
          <w:szCs w:val="28"/>
        </w:rPr>
        <w:lastRenderedPageBreak/>
        <w:t xml:space="preserve">и расходами неинвестиционного характера (текущие расходы) на 8,9%. При этом показатель, отражающий способность области к самостоятельному (без учета субвенций) выполнению первоочередных, в том числе социально-значимых, расходных обязательств за счет налоговых и неналоговых доходов (коэффициент общей платежеспособности Тульской области), в 2014 году составил 103%. Несмотря на положительную динамику роста налоговых и неналоговых доходов бюджета области в 2014 году (темп роста 131,5% к 2013 году), покрытие расходных обязательств бюджета и погашение задолженности области по заемным средствам доходами бюджета области (с учетом финансовой помощи из федерального бюджета) не было обеспечено. </w:t>
      </w:r>
    </w:p>
    <w:p w:rsidR="002725D8" w:rsidRPr="00EA5F0E" w:rsidRDefault="002725D8" w:rsidP="0027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финансирования дефицита бюджета области и погашения ранее принятых государственных долговых обязательств Тульской области в 2014 году привлекались государственные заимствования Тульской области всего на сумму 16 558 669,0 тыс. рублей. </w:t>
      </w:r>
    </w:p>
    <w:p w:rsidR="002725D8" w:rsidRPr="00EA5F0E" w:rsidRDefault="002725D8" w:rsidP="002725D8">
      <w:pPr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>Осуществление в 2014 году значительных заимствований увеличил</w:t>
      </w:r>
      <w:r w:rsidR="00C926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государственный долг Тульской области на 2 000 000,0 тыс. рублей, или на 14,4%. Величина государственного долга Тульской области по состоянию на 1 января 2015 года составила 15</w:t>
      </w:r>
      <w:r w:rsidR="00C926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>900</w:t>
      </w:r>
      <w:r w:rsidR="00C926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>000,0</w:t>
      </w:r>
      <w:r w:rsidR="00C92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C92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2725D8" w:rsidRPr="001821EB" w:rsidRDefault="002725D8" w:rsidP="001821EB">
      <w:pPr>
        <w:pStyle w:val="a3"/>
        <w:numPr>
          <w:ilvl w:val="0"/>
          <w:numId w:val="27"/>
        </w:numPr>
        <w:tabs>
          <w:tab w:val="left" w:pos="426"/>
          <w:tab w:val="left" w:pos="851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1EB">
        <w:rPr>
          <w:rFonts w:ascii="Times New Roman" w:hAnsi="Times New Roman"/>
          <w:sz w:val="28"/>
          <w:szCs w:val="28"/>
        </w:rPr>
        <w:t>Бюджет Тульской области на 2015 год сформирован исходя из необходимости обеспечения ранее принятых расходных обязательств, увеличение расходов на капитальное строительство и ремонты не предусматривалось. В 2015 году в ходе исполнения бюджета области правительством Тульской области осуществляется мониторинг ситуации за поступлением доходов в бюджет области</w:t>
      </w:r>
      <w:r w:rsidR="00C926EB" w:rsidRPr="001821EB">
        <w:rPr>
          <w:rFonts w:ascii="Times New Roman" w:hAnsi="Times New Roman"/>
          <w:sz w:val="28"/>
          <w:szCs w:val="28"/>
        </w:rPr>
        <w:t>,</w:t>
      </w:r>
      <w:r w:rsidRPr="001821EB">
        <w:rPr>
          <w:rFonts w:ascii="Times New Roman" w:hAnsi="Times New Roman"/>
          <w:sz w:val="28"/>
          <w:szCs w:val="28"/>
        </w:rPr>
        <w:t xml:space="preserve"> проводится работа  по повышению эффективности и оптимизации расходов бюджета области, что </w:t>
      </w:r>
      <w:r w:rsidR="00C926EB" w:rsidRPr="001821EB">
        <w:rPr>
          <w:rFonts w:ascii="Times New Roman" w:hAnsi="Times New Roman"/>
          <w:sz w:val="28"/>
          <w:szCs w:val="28"/>
        </w:rPr>
        <w:t xml:space="preserve">способствует </w:t>
      </w:r>
      <w:r w:rsidRPr="001821EB">
        <w:rPr>
          <w:rFonts w:ascii="Times New Roman" w:hAnsi="Times New Roman"/>
          <w:sz w:val="28"/>
          <w:szCs w:val="28"/>
        </w:rPr>
        <w:t>достаточно стабильно</w:t>
      </w:r>
      <w:r w:rsidR="00C926EB" w:rsidRPr="001821EB">
        <w:rPr>
          <w:rFonts w:ascii="Times New Roman" w:hAnsi="Times New Roman"/>
          <w:sz w:val="28"/>
          <w:szCs w:val="28"/>
        </w:rPr>
        <w:t xml:space="preserve">му </w:t>
      </w:r>
      <w:r w:rsidRPr="001821EB">
        <w:rPr>
          <w:rFonts w:ascii="Times New Roman" w:hAnsi="Times New Roman"/>
          <w:sz w:val="28"/>
          <w:szCs w:val="28"/>
        </w:rPr>
        <w:t>исполнени</w:t>
      </w:r>
      <w:r w:rsidR="00C926EB" w:rsidRPr="001821EB">
        <w:rPr>
          <w:rFonts w:ascii="Times New Roman" w:hAnsi="Times New Roman"/>
          <w:sz w:val="28"/>
          <w:szCs w:val="28"/>
        </w:rPr>
        <w:t>ю</w:t>
      </w:r>
      <w:r w:rsidRPr="001821EB">
        <w:rPr>
          <w:rFonts w:ascii="Times New Roman" w:hAnsi="Times New Roman"/>
          <w:sz w:val="28"/>
          <w:szCs w:val="28"/>
        </w:rPr>
        <w:t xml:space="preserve"> бюджета Тульской области. В течение 2015 года сохранялись резервы бюджетных средств в виде остатков средств на едином счете бюджета области на начало месяца. При запланированном дефиците на 2015 год в сумме 2 976 313,4 тыс. рублей (6% от собственных доходов) бюджет области исполнялся с превышением доходов над расходами.</w:t>
      </w:r>
    </w:p>
    <w:p w:rsidR="002725D8" w:rsidRPr="00EA5F0E" w:rsidRDefault="002725D8" w:rsidP="002725D8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государственного долга Тульской области за 9 месяцев 2015 года уменьшился на 1 094 961,0 тыс. рублей, или на 6,9%, и по состоянию на 1 октября 2015 года сложился в объеме 14 805 039,0 тыс. рублей. </w:t>
      </w:r>
    </w:p>
    <w:p w:rsidR="002725D8" w:rsidRPr="00EA5F0E" w:rsidRDefault="002725D8" w:rsidP="002725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01.10.2015 исполнено долговых обязательств на сумму 5 191 331,0 тыс. рублей, что составляет 32,6% от суммы государственного долга Тульской области, сложивше</w:t>
      </w:r>
      <w:r w:rsidR="00C926E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A5F0E">
        <w:rPr>
          <w:rFonts w:ascii="Times New Roman" w:eastAsia="Times New Roman" w:hAnsi="Times New Roman"/>
          <w:sz w:val="28"/>
          <w:szCs w:val="28"/>
          <w:lang w:eastAsia="ru-RU"/>
        </w:rPr>
        <w:t>ся на начало текущего года. За 9 месяцев 2015 года в бюджет области было привлечено заемных средств на сумму 4 096 370,0 тыс. рублей, из них бюджетные кредиты из федерального бюджета – 2 596 370,0 тыс. рублей для частичного покрытия дефицита бюджета Тульской области.</w:t>
      </w:r>
    </w:p>
    <w:p w:rsidR="002725D8" w:rsidRPr="001821EB" w:rsidRDefault="002725D8" w:rsidP="001821EB">
      <w:pPr>
        <w:pStyle w:val="a3"/>
        <w:numPr>
          <w:ilvl w:val="0"/>
          <w:numId w:val="27"/>
        </w:numPr>
        <w:tabs>
          <w:tab w:val="left" w:pos="426"/>
          <w:tab w:val="left" w:pos="851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1EB">
        <w:rPr>
          <w:rFonts w:ascii="Times New Roman" w:hAnsi="Times New Roman"/>
          <w:sz w:val="28"/>
          <w:szCs w:val="28"/>
        </w:rPr>
        <w:t xml:space="preserve">Состояние государственного долга области за последние пять лет характеризуется увеличением долговой нагрузки (уровень государственного долга области в процентах от общего объема доходов бюджета области без учета безвозмездных поступлений) с 23,1% в 2011 году до 31,8% в 2014 году </w:t>
      </w:r>
      <w:r w:rsidRPr="001821EB">
        <w:rPr>
          <w:rFonts w:ascii="Times New Roman" w:hAnsi="Times New Roman"/>
          <w:sz w:val="28"/>
          <w:szCs w:val="28"/>
        </w:rPr>
        <w:lastRenderedPageBreak/>
        <w:t>с резким ее увеличением на начало 2014 года (на 10,7 процентного пункта по сравнению с предыдущим годом). Объем государственного долга Тульской области в процентах к ВРП также имеет тенденцию к росту с 2,2% в 2011 году до 4,1% в 2014 году. При этом объем государственного долга Тульской области за указанный период остается на уровне существенно ниже предельного значения, установленного статьей 107 Бюджетного кодекса Российской Федерации.</w:t>
      </w:r>
    </w:p>
    <w:p w:rsidR="002725D8" w:rsidRPr="001821EB" w:rsidRDefault="002725D8" w:rsidP="001821EB">
      <w:pPr>
        <w:pStyle w:val="a3"/>
        <w:numPr>
          <w:ilvl w:val="0"/>
          <w:numId w:val="27"/>
        </w:numPr>
        <w:tabs>
          <w:tab w:val="left" w:pos="426"/>
          <w:tab w:val="left" w:pos="851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1EB">
        <w:rPr>
          <w:rFonts w:ascii="Times New Roman" w:hAnsi="Times New Roman"/>
          <w:sz w:val="28"/>
          <w:szCs w:val="28"/>
        </w:rPr>
        <w:t>Расходы на обслуживание государственного долга Тульской области выросли до 1 118 228,1 тыс. рублей в 2014 году (на 72,8% к предыдущему году), за 9 месяцев 2015 года процентные расходы составили 897 674,7 тыс. рублей (114,5% к соответствующему периоду прошлого года).</w:t>
      </w:r>
    </w:p>
    <w:p w:rsidR="002725D8" w:rsidRPr="001821EB" w:rsidRDefault="002725D8" w:rsidP="001821EB">
      <w:pPr>
        <w:pStyle w:val="a3"/>
        <w:tabs>
          <w:tab w:val="left" w:pos="426"/>
          <w:tab w:val="left" w:pos="851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1EB">
        <w:rPr>
          <w:rFonts w:ascii="Times New Roman" w:hAnsi="Times New Roman"/>
          <w:sz w:val="28"/>
          <w:szCs w:val="28"/>
        </w:rPr>
        <w:t>Рост расходов на обслуживание государственного долга связан с ростом объемов государственного долга на 14,4%, ростом процентных ставок по рыночным долговым обязательствам с 8,38% в 2013 году до 10,32% в 2014 году (в 2015 году – 9,94%).</w:t>
      </w:r>
    </w:p>
    <w:p w:rsidR="002725D8" w:rsidRPr="001821EB" w:rsidRDefault="002725D8" w:rsidP="001821EB">
      <w:pPr>
        <w:pStyle w:val="a3"/>
        <w:numPr>
          <w:ilvl w:val="0"/>
          <w:numId w:val="27"/>
        </w:numPr>
        <w:tabs>
          <w:tab w:val="left" w:pos="426"/>
          <w:tab w:val="left" w:pos="851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1EB">
        <w:rPr>
          <w:rFonts w:ascii="Times New Roman" w:hAnsi="Times New Roman"/>
          <w:sz w:val="28"/>
          <w:szCs w:val="28"/>
        </w:rPr>
        <w:t xml:space="preserve">За 2014 год в структуре государственного долга Тульской области увеличилась доля банковских кредитов с 31,7% в 2013 году до 46,2%, а также доля бюджетных кредитов из федерального бюджета </w:t>
      </w:r>
      <w:r w:rsidR="001821EB">
        <w:rPr>
          <w:rFonts w:ascii="Times New Roman" w:hAnsi="Times New Roman"/>
          <w:sz w:val="28"/>
          <w:szCs w:val="28"/>
        </w:rPr>
        <w:t xml:space="preserve">– </w:t>
      </w:r>
      <w:r w:rsidRPr="001821EB">
        <w:rPr>
          <w:rFonts w:ascii="Times New Roman" w:hAnsi="Times New Roman"/>
          <w:sz w:val="28"/>
          <w:szCs w:val="28"/>
        </w:rPr>
        <w:t>с 7,2% до 12,9%</w:t>
      </w:r>
      <w:r w:rsidR="001821EB">
        <w:rPr>
          <w:rFonts w:ascii="Times New Roman" w:hAnsi="Times New Roman"/>
          <w:sz w:val="28"/>
          <w:szCs w:val="28"/>
        </w:rPr>
        <w:t>,</w:t>
      </w:r>
      <w:r w:rsidRPr="001821EB">
        <w:rPr>
          <w:rFonts w:ascii="Times New Roman" w:hAnsi="Times New Roman"/>
          <w:sz w:val="28"/>
          <w:szCs w:val="28"/>
        </w:rPr>
        <w:t xml:space="preserve"> при этом снизилась доля государственных ценных бумаг до 40,9%. </w:t>
      </w:r>
    </w:p>
    <w:p w:rsidR="002725D8" w:rsidRDefault="002725D8" w:rsidP="002725D8">
      <w:pPr>
        <w:pStyle w:val="Default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2015 года заметно </w:t>
      </w:r>
      <w:r w:rsidR="001821EB">
        <w:rPr>
          <w:sz w:val="28"/>
          <w:szCs w:val="28"/>
        </w:rPr>
        <w:t xml:space="preserve">(до 31,4%) </w:t>
      </w:r>
      <w:r>
        <w:rPr>
          <w:sz w:val="28"/>
          <w:szCs w:val="28"/>
        </w:rPr>
        <w:t>возросла доля долга по бюджетным кредитам из федерального бюджета и сократилась доля долга по государственным ценным бумагам Тульской области на 18,9 процентного пункта (за счет сокращения задолженности по ценным бумагам).</w:t>
      </w:r>
    </w:p>
    <w:p w:rsidR="002725D8" w:rsidRPr="00EA5F0E" w:rsidRDefault="002725D8" w:rsidP="001821EB">
      <w:pPr>
        <w:tabs>
          <w:tab w:val="left" w:pos="900"/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F0E">
        <w:rPr>
          <w:rFonts w:ascii="Times New Roman" w:hAnsi="Times New Roman"/>
          <w:color w:val="000000"/>
          <w:sz w:val="28"/>
          <w:szCs w:val="28"/>
        </w:rPr>
        <w:t>18.</w:t>
      </w:r>
      <w:r w:rsidR="001821EB">
        <w:rPr>
          <w:rFonts w:ascii="Times New Roman" w:hAnsi="Times New Roman"/>
          <w:color w:val="000000"/>
          <w:sz w:val="28"/>
          <w:szCs w:val="28"/>
        </w:rPr>
        <w:tab/>
      </w:r>
      <w:r w:rsidRPr="00EA5F0E">
        <w:rPr>
          <w:rFonts w:ascii="Times New Roman" w:hAnsi="Times New Roman"/>
          <w:color w:val="000000"/>
          <w:sz w:val="28"/>
          <w:szCs w:val="28"/>
        </w:rPr>
        <w:t xml:space="preserve">Показатели государственного долга Тульской области находятся в рамках, установленных бюджетным законодательством, на настоящий момент не являются критичными и дают возможность для экономических маневров. </w:t>
      </w:r>
    </w:p>
    <w:p w:rsidR="002725D8" w:rsidRPr="007445CC" w:rsidRDefault="0017113D" w:rsidP="002725D8">
      <w:pPr>
        <w:pStyle w:val="a3"/>
        <w:tabs>
          <w:tab w:val="left" w:pos="1134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</w:t>
      </w:r>
      <w:r w:rsidR="002725D8" w:rsidRPr="007445CC">
        <w:rPr>
          <w:rFonts w:ascii="Times New Roman" w:hAnsi="Times New Roman"/>
          <w:spacing w:val="-4"/>
          <w:sz w:val="28"/>
          <w:szCs w:val="28"/>
        </w:rPr>
        <w:t>тчет о результатах экспертно-аналитического мероприятия</w:t>
      </w:r>
      <w:r>
        <w:rPr>
          <w:rFonts w:ascii="Times New Roman" w:hAnsi="Times New Roman"/>
          <w:spacing w:val="-4"/>
          <w:sz w:val="28"/>
          <w:szCs w:val="28"/>
        </w:rPr>
        <w:t xml:space="preserve"> направлен </w:t>
      </w:r>
      <w:r w:rsidR="002725D8" w:rsidRPr="007445CC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2725D8">
        <w:rPr>
          <w:rFonts w:ascii="Times New Roman" w:hAnsi="Times New Roman"/>
          <w:spacing w:val="-4"/>
          <w:sz w:val="28"/>
          <w:szCs w:val="28"/>
        </w:rPr>
        <w:t>Счетную палату Российской Федерации</w:t>
      </w:r>
      <w:r w:rsidR="002725D8" w:rsidRPr="007445CC">
        <w:rPr>
          <w:rFonts w:ascii="Times New Roman" w:hAnsi="Times New Roman"/>
          <w:spacing w:val="-4"/>
          <w:sz w:val="28"/>
          <w:szCs w:val="28"/>
        </w:rPr>
        <w:t>.</w:t>
      </w:r>
    </w:p>
    <w:p w:rsidR="002725D8" w:rsidRDefault="002725D8" w:rsidP="002725D8">
      <w:pPr>
        <w:pStyle w:val="ConsPlusNormal"/>
        <w:tabs>
          <w:tab w:val="left" w:pos="993"/>
        </w:tabs>
        <w:spacing w:before="120"/>
        <w:jc w:val="both"/>
        <w:rPr>
          <w:color w:val="000000"/>
        </w:rPr>
      </w:pPr>
    </w:p>
    <w:p w:rsidR="002725D8" w:rsidRPr="007445CC" w:rsidRDefault="002725D8" w:rsidP="002725D8">
      <w:pPr>
        <w:pStyle w:val="ConsPlusNormal"/>
        <w:tabs>
          <w:tab w:val="left" w:pos="993"/>
        </w:tabs>
        <w:spacing w:before="120"/>
        <w:jc w:val="both"/>
        <w:rPr>
          <w:color w:val="000000"/>
        </w:rPr>
      </w:pPr>
      <w:r w:rsidRPr="007445CC">
        <w:rPr>
          <w:color w:val="000000"/>
        </w:rPr>
        <w:t xml:space="preserve">Аудитор счетной палаты </w:t>
      </w:r>
    </w:p>
    <w:p w:rsidR="002725D8" w:rsidRPr="00B34C49" w:rsidRDefault="002725D8" w:rsidP="002725D8">
      <w:pPr>
        <w:pStyle w:val="ConsPlusNormal"/>
        <w:tabs>
          <w:tab w:val="left" w:pos="993"/>
        </w:tabs>
        <w:jc w:val="both"/>
        <w:rPr>
          <w:color w:val="000000"/>
        </w:rPr>
      </w:pPr>
      <w:r w:rsidRPr="007445CC">
        <w:rPr>
          <w:color w:val="000000"/>
        </w:rPr>
        <w:t>Тульской области</w:t>
      </w:r>
      <w:r w:rsidRPr="007445CC">
        <w:rPr>
          <w:color w:val="000000"/>
        </w:rPr>
        <w:tab/>
      </w:r>
      <w:r w:rsidRPr="007445CC">
        <w:rPr>
          <w:color w:val="000000"/>
        </w:rPr>
        <w:tab/>
      </w:r>
      <w:r w:rsidRPr="007445CC">
        <w:rPr>
          <w:color w:val="000000"/>
        </w:rPr>
        <w:tab/>
      </w:r>
      <w:r w:rsidRPr="007445CC">
        <w:rPr>
          <w:color w:val="000000"/>
        </w:rPr>
        <w:tab/>
      </w:r>
      <w:r w:rsidRPr="007445CC">
        <w:rPr>
          <w:color w:val="000000"/>
        </w:rPr>
        <w:tab/>
      </w:r>
      <w:r w:rsidRPr="007445CC">
        <w:rPr>
          <w:color w:val="000000"/>
        </w:rPr>
        <w:tab/>
      </w:r>
      <w:r w:rsidRPr="007445CC">
        <w:rPr>
          <w:color w:val="000000"/>
        </w:rPr>
        <w:tab/>
      </w:r>
      <w:r>
        <w:rPr>
          <w:color w:val="000000"/>
        </w:rPr>
        <w:t xml:space="preserve">      </w:t>
      </w:r>
      <w:r w:rsidRPr="007445CC">
        <w:rPr>
          <w:color w:val="000000"/>
        </w:rPr>
        <w:t>О.П.Гремякова</w:t>
      </w:r>
    </w:p>
    <w:p w:rsidR="002725D8" w:rsidRDefault="002725D8" w:rsidP="002725D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5D8" w:rsidRDefault="002725D8" w:rsidP="002725D8">
      <w:pPr>
        <w:tabs>
          <w:tab w:val="left" w:pos="900"/>
          <w:tab w:val="left" w:pos="1276"/>
        </w:tabs>
        <w:spacing w:before="120"/>
        <w:rPr>
          <w:spacing w:val="-4"/>
          <w:szCs w:val="28"/>
        </w:rPr>
      </w:pPr>
    </w:p>
    <w:p w:rsidR="002725D8" w:rsidRDefault="002725D8" w:rsidP="003901E5">
      <w:pPr>
        <w:pStyle w:val="Default"/>
        <w:spacing w:before="120"/>
        <w:ind w:firstLine="709"/>
        <w:jc w:val="both"/>
        <w:rPr>
          <w:sz w:val="28"/>
          <w:szCs w:val="28"/>
        </w:rPr>
      </w:pPr>
    </w:p>
    <w:sectPr w:rsidR="002725D8" w:rsidSect="006F08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88" w:rsidRDefault="003E2088" w:rsidP="00CB6152">
      <w:pPr>
        <w:spacing w:after="0" w:line="240" w:lineRule="auto"/>
      </w:pPr>
      <w:r>
        <w:separator/>
      </w:r>
    </w:p>
  </w:endnote>
  <w:endnote w:type="continuationSeparator" w:id="0">
    <w:p w:rsidR="003E2088" w:rsidRDefault="003E2088" w:rsidP="00C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88" w:rsidRDefault="003E2088" w:rsidP="00CB6152">
      <w:pPr>
        <w:spacing w:after="0" w:line="240" w:lineRule="auto"/>
      </w:pPr>
      <w:r>
        <w:separator/>
      </w:r>
    </w:p>
  </w:footnote>
  <w:footnote w:type="continuationSeparator" w:id="0">
    <w:p w:rsidR="003E2088" w:rsidRDefault="003E2088" w:rsidP="00CB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F5D33" w:rsidRPr="0083326B" w:rsidRDefault="004F5D33" w:rsidP="006F0811">
        <w:pPr>
          <w:pStyle w:val="ad"/>
          <w:jc w:val="center"/>
          <w:rPr>
            <w:rFonts w:ascii="Times New Roman" w:hAnsi="Times New Roman"/>
          </w:rPr>
        </w:pPr>
        <w:r w:rsidRPr="0083326B">
          <w:rPr>
            <w:rFonts w:ascii="Times New Roman" w:hAnsi="Times New Roman"/>
          </w:rPr>
          <w:fldChar w:fldCharType="begin"/>
        </w:r>
        <w:r w:rsidRPr="0083326B">
          <w:rPr>
            <w:rFonts w:ascii="Times New Roman" w:hAnsi="Times New Roman"/>
          </w:rPr>
          <w:instrText xml:space="preserve"> PAGE   \* MERGEFORMAT </w:instrText>
        </w:r>
        <w:r w:rsidRPr="0083326B">
          <w:rPr>
            <w:rFonts w:ascii="Times New Roman" w:hAnsi="Times New Roman"/>
          </w:rPr>
          <w:fldChar w:fldCharType="separate"/>
        </w:r>
        <w:r w:rsidR="00077F93">
          <w:rPr>
            <w:rFonts w:ascii="Times New Roman" w:hAnsi="Times New Roman"/>
            <w:noProof/>
          </w:rPr>
          <w:t>2</w:t>
        </w:r>
        <w:r w:rsidRPr="0083326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9B5"/>
    <w:multiLevelType w:val="hybridMultilevel"/>
    <w:tmpl w:val="4C60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1C2"/>
    <w:multiLevelType w:val="hybridMultilevel"/>
    <w:tmpl w:val="60CE4F38"/>
    <w:lvl w:ilvl="0" w:tplc="A4A85A0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113F"/>
    <w:multiLevelType w:val="hybridMultilevel"/>
    <w:tmpl w:val="C4488F52"/>
    <w:lvl w:ilvl="0" w:tplc="E1565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009DC"/>
    <w:multiLevelType w:val="hybridMultilevel"/>
    <w:tmpl w:val="82AA2F4E"/>
    <w:lvl w:ilvl="0" w:tplc="6B18E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5C1D"/>
    <w:multiLevelType w:val="hybridMultilevel"/>
    <w:tmpl w:val="B3BA6EA2"/>
    <w:lvl w:ilvl="0" w:tplc="E54A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1212"/>
    <w:multiLevelType w:val="hybridMultilevel"/>
    <w:tmpl w:val="A5C2AB34"/>
    <w:lvl w:ilvl="0" w:tplc="5664C7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C4FBE"/>
    <w:multiLevelType w:val="hybridMultilevel"/>
    <w:tmpl w:val="04663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79F"/>
    <w:multiLevelType w:val="hybridMultilevel"/>
    <w:tmpl w:val="50A67F50"/>
    <w:lvl w:ilvl="0" w:tplc="B6E02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1680"/>
    <w:multiLevelType w:val="multilevel"/>
    <w:tmpl w:val="589CCC5C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9" w15:restartNumberingAfterBreak="0">
    <w:nsid w:val="432B7A13"/>
    <w:multiLevelType w:val="multilevel"/>
    <w:tmpl w:val="D7AED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B1150A"/>
    <w:multiLevelType w:val="hybridMultilevel"/>
    <w:tmpl w:val="88B4C448"/>
    <w:lvl w:ilvl="0" w:tplc="BECAF4A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C42BCA"/>
    <w:multiLevelType w:val="hybridMultilevel"/>
    <w:tmpl w:val="52C232F8"/>
    <w:lvl w:ilvl="0" w:tplc="2D5688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9A4"/>
    <w:multiLevelType w:val="hybridMultilevel"/>
    <w:tmpl w:val="D088949E"/>
    <w:lvl w:ilvl="0" w:tplc="8D047E9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695945"/>
    <w:multiLevelType w:val="hybridMultilevel"/>
    <w:tmpl w:val="D9144DC4"/>
    <w:lvl w:ilvl="0" w:tplc="E4F2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84FF4"/>
    <w:multiLevelType w:val="multilevel"/>
    <w:tmpl w:val="93FA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56FD7"/>
    <w:multiLevelType w:val="hybridMultilevel"/>
    <w:tmpl w:val="A5C2AB34"/>
    <w:lvl w:ilvl="0" w:tplc="5664C7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D53AB"/>
    <w:multiLevelType w:val="hybridMultilevel"/>
    <w:tmpl w:val="52C232F8"/>
    <w:lvl w:ilvl="0" w:tplc="2D5688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34995"/>
    <w:multiLevelType w:val="hybridMultilevel"/>
    <w:tmpl w:val="82AA2F4E"/>
    <w:lvl w:ilvl="0" w:tplc="6B18E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AB288D"/>
    <w:multiLevelType w:val="multilevel"/>
    <w:tmpl w:val="93E65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B7728E"/>
    <w:multiLevelType w:val="hybridMultilevel"/>
    <w:tmpl w:val="8154F934"/>
    <w:lvl w:ilvl="0" w:tplc="6CCC3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9F41E4"/>
    <w:multiLevelType w:val="hybridMultilevel"/>
    <w:tmpl w:val="F4086810"/>
    <w:lvl w:ilvl="0" w:tplc="3E7EE75A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0E59"/>
    <w:multiLevelType w:val="hybridMultilevel"/>
    <w:tmpl w:val="58D8E5DA"/>
    <w:lvl w:ilvl="0" w:tplc="527A7F1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5769E"/>
    <w:multiLevelType w:val="hybridMultilevel"/>
    <w:tmpl w:val="4492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E5EA0"/>
    <w:multiLevelType w:val="hybridMultilevel"/>
    <w:tmpl w:val="98743E96"/>
    <w:lvl w:ilvl="0" w:tplc="662C2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60E66"/>
    <w:multiLevelType w:val="hybridMultilevel"/>
    <w:tmpl w:val="82AA2F4E"/>
    <w:lvl w:ilvl="0" w:tplc="6B18E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C51D0A"/>
    <w:multiLevelType w:val="hybridMultilevel"/>
    <w:tmpl w:val="44C01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34862"/>
    <w:multiLevelType w:val="hybridMultilevel"/>
    <w:tmpl w:val="B7862066"/>
    <w:lvl w:ilvl="0" w:tplc="CB2864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14"/>
  </w:num>
  <w:num w:numId="5">
    <w:abstractNumId w:val="15"/>
  </w:num>
  <w:num w:numId="6">
    <w:abstractNumId w:val="0"/>
  </w:num>
  <w:num w:numId="7">
    <w:abstractNumId w:val="25"/>
  </w:num>
  <w:num w:numId="8">
    <w:abstractNumId w:val="26"/>
  </w:num>
  <w:num w:numId="9">
    <w:abstractNumId w:val="21"/>
  </w:num>
  <w:num w:numId="10">
    <w:abstractNumId w:val="11"/>
  </w:num>
  <w:num w:numId="11">
    <w:abstractNumId w:val="16"/>
  </w:num>
  <w:num w:numId="12">
    <w:abstractNumId w:val="17"/>
  </w:num>
  <w:num w:numId="13">
    <w:abstractNumId w:val="3"/>
  </w:num>
  <w:num w:numId="14">
    <w:abstractNumId w:val="24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10"/>
  </w:num>
  <w:num w:numId="20">
    <w:abstractNumId w:val="13"/>
  </w:num>
  <w:num w:numId="21">
    <w:abstractNumId w:val="4"/>
  </w:num>
  <w:num w:numId="22">
    <w:abstractNumId w:val="7"/>
  </w:num>
  <w:num w:numId="23">
    <w:abstractNumId w:val="23"/>
  </w:num>
  <w:num w:numId="24">
    <w:abstractNumId w:val="6"/>
  </w:num>
  <w:num w:numId="25">
    <w:abstractNumId w:val="12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22"/>
    <w:rsid w:val="00002102"/>
    <w:rsid w:val="000032CE"/>
    <w:rsid w:val="00003BF4"/>
    <w:rsid w:val="000054BE"/>
    <w:rsid w:val="00011CE0"/>
    <w:rsid w:val="00014A49"/>
    <w:rsid w:val="00015018"/>
    <w:rsid w:val="000151FF"/>
    <w:rsid w:val="00020085"/>
    <w:rsid w:val="00020D52"/>
    <w:rsid w:val="000212C3"/>
    <w:rsid w:val="000276AC"/>
    <w:rsid w:val="00031992"/>
    <w:rsid w:val="00034E35"/>
    <w:rsid w:val="00043951"/>
    <w:rsid w:val="000517FD"/>
    <w:rsid w:val="000535CF"/>
    <w:rsid w:val="00057A01"/>
    <w:rsid w:val="00057C70"/>
    <w:rsid w:val="000615BE"/>
    <w:rsid w:val="0006585C"/>
    <w:rsid w:val="00067F74"/>
    <w:rsid w:val="00071DA6"/>
    <w:rsid w:val="000721B0"/>
    <w:rsid w:val="00072738"/>
    <w:rsid w:val="00073789"/>
    <w:rsid w:val="00074338"/>
    <w:rsid w:val="00076887"/>
    <w:rsid w:val="000774B5"/>
    <w:rsid w:val="00077F93"/>
    <w:rsid w:val="000835C7"/>
    <w:rsid w:val="000843F0"/>
    <w:rsid w:val="00085985"/>
    <w:rsid w:val="00086D67"/>
    <w:rsid w:val="00090F07"/>
    <w:rsid w:val="00092BAF"/>
    <w:rsid w:val="000A0B73"/>
    <w:rsid w:val="000A10CE"/>
    <w:rsid w:val="000A13E9"/>
    <w:rsid w:val="000A21F9"/>
    <w:rsid w:val="000A2BD4"/>
    <w:rsid w:val="000A673B"/>
    <w:rsid w:val="000B528E"/>
    <w:rsid w:val="000B601A"/>
    <w:rsid w:val="000C207D"/>
    <w:rsid w:val="000C389F"/>
    <w:rsid w:val="000C5096"/>
    <w:rsid w:val="000C7D01"/>
    <w:rsid w:val="000D4B80"/>
    <w:rsid w:val="000D5F93"/>
    <w:rsid w:val="000E0ED0"/>
    <w:rsid w:val="000E4670"/>
    <w:rsid w:val="000E66AE"/>
    <w:rsid w:val="000E70A7"/>
    <w:rsid w:val="000E75E7"/>
    <w:rsid w:val="000F0854"/>
    <w:rsid w:val="000F1270"/>
    <w:rsid w:val="000F2681"/>
    <w:rsid w:val="000F69E2"/>
    <w:rsid w:val="00102080"/>
    <w:rsid w:val="00102A64"/>
    <w:rsid w:val="00102E58"/>
    <w:rsid w:val="001033A8"/>
    <w:rsid w:val="00103582"/>
    <w:rsid w:val="00103B67"/>
    <w:rsid w:val="00110C10"/>
    <w:rsid w:val="001131AA"/>
    <w:rsid w:val="0011594A"/>
    <w:rsid w:val="00117814"/>
    <w:rsid w:val="00121550"/>
    <w:rsid w:val="0012316A"/>
    <w:rsid w:val="00125FF1"/>
    <w:rsid w:val="0012789C"/>
    <w:rsid w:val="00131250"/>
    <w:rsid w:val="00132B03"/>
    <w:rsid w:val="00136B4A"/>
    <w:rsid w:val="0015217F"/>
    <w:rsid w:val="00155711"/>
    <w:rsid w:val="00160409"/>
    <w:rsid w:val="00162865"/>
    <w:rsid w:val="00163EAE"/>
    <w:rsid w:val="0016513A"/>
    <w:rsid w:val="00165730"/>
    <w:rsid w:val="0017113D"/>
    <w:rsid w:val="00173987"/>
    <w:rsid w:val="001821EB"/>
    <w:rsid w:val="00182519"/>
    <w:rsid w:val="00182736"/>
    <w:rsid w:val="00191E41"/>
    <w:rsid w:val="001969D7"/>
    <w:rsid w:val="00197618"/>
    <w:rsid w:val="001B1242"/>
    <w:rsid w:val="001B4A30"/>
    <w:rsid w:val="001B4B5B"/>
    <w:rsid w:val="001B535A"/>
    <w:rsid w:val="001B6772"/>
    <w:rsid w:val="001C2A84"/>
    <w:rsid w:val="001C3FE4"/>
    <w:rsid w:val="001D138A"/>
    <w:rsid w:val="001D5820"/>
    <w:rsid w:val="001E0479"/>
    <w:rsid w:val="001E29F3"/>
    <w:rsid w:val="001E7993"/>
    <w:rsid w:val="001F03B1"/>
    <w:rsid w:val="001F5449"/>
    <w:rsid w:val="001F7C57"/>
    <w:rsid w:val="00202D0D"/>
    <w:rsid w:val="0020641E"/>
    <w:rsid w:val="002100D5"/>
    <w:rsid w:val="002230FE"/>
    <w:rsid w:val="00223714"/>
    <w:rsid w:val="00227F6F"/>
    <w:rsid w:val="002303D5"/>
    <w:rsid w:val="002313F9"/>
    <w:rsid w:val="00233B59"/>
    <w:rsid w:val="0023464D"/>
    <w:rsid w:val="00245B95"/>
    <w:rsid w:val="00247522"/>
    <w:rsid w:val="00253010"/>
    <w:rsid w:val="0026334B"/>
    <w:rsid w:val="00265EA5"/>
    <w:rsid w:val="00270EF8"/>
    <w:rsid w:val="002718B1"/>
    <w:rsid w:val="002725D8"/>
    <w:rsid w:val="00285802"/>
    <w:rsid w:val="00292C95"/>
    <w:rsid w:val="002931AD"/>
    <w:rsid w:val="00295C40"/>
    <w:rsid w:val="0029613D"/>
    <w:rsid w:val="002A0ADC"/>
    <w:rsid w:val="002A36FE"/>
    <w:rsid w:val="002A3C42"/>
    <w:rsid w:val="002A55F1"/>
    <w:rsid w:val="002A5F05"/>
    <w:rsid w:val="002B2495"/>
    <w:rsid w:val="002B6A63"/>
    <w:rsid w:val="002C229B"/>
    <w:rsid w:val="002C34BC"/>
    <w:rsid w:val="002C5E20"/>
    <w:rsid w:val="002C64DB"/>
    <w:rsid w:val="002C72AB"/>
    <w:rsid w:val="002D7477"/>
    <w:rsid w:val="002D7FA7"/>
    <w:rsid w:val="002E4EF3"/>
    <w:rsid w:val="002F08FC"/>
    <w:rsid w:val="002F0C37"/>
    <w:rsid w:val="002F10AA"/>
    <w:rsid w:val="002F22A3"/>
    <w:rsid w:val="002F2C65"/>
    <w:rsid w:val="0030180F"/>
    <w:rsid w:val="00304AD4"/>
    <w:rsid w:val="00311C99"/>
    <w:rsid w:val="003134C7"/>
    <w:rsid w:val="0031601C"/>
    <w:rsid w:val="00320B3F"/>
    <w:rsid w:val="00325512"/>
    <w:rsid w:val="003259D6"/>
    <w:rsid w:val="00326FD5"/>
    <w:rsid w:val="00330EF5"/>
    <w:rsid w:val="0033478B"/>
    <w:rsid w:val="0034285F"/>
    <w:rsid w:val="003437B6"/>
    <w:rsid w:val="00344CAC"/>
    <w:rsid w:val="00351519"/>
    <w:rsid w:val="0035432F"/>
    <w:rsid w:val="00356126"/>
    <w:rsid w:val="00360A7F"/>
    <w:rsid w:val="0036185B"/>
    <w:rsid w:val="003635F3"/>
    <w:rsid w:val="00364A45"/>
    <w:rsid w:val="00364C43"/>
    <w:rsid w:val="003762A2"/>
    <w:rsid w:val="00380445"/>
    <w:rsid w:val="00385313"/>
    <w:rsid w:val="003867D8"/>
    <w:rsid w:val="0038782C"/>
    <w:rsid w:val="003901E5"/>
    <w:rsid w:val="003965AD"/>
    <w:rsid w:val="003A1C10"/>
    <w:rsid w:val="003A2111"/>
    <w:rsid w:val="003A27A3"/>
    <w:rsid w:val="003A5BC1"/>
    <w:rsid w:val="003B0D06"/>
    <w:rsid w:val="003B5A8D"/>
    <w:rsid w:val="003B7C63"/>
    <w:rsid w:val="003C2D63"/>
    <w:rsid w:val="003C3E1E"/>
    <w:rsid w:val="003C6F52"/>
    <w:rsid w:val="003C7652"/>
    <w:rsid w:val="003D0227"/>
    <w:rsid w:val="003E2088"/>
    <w:rsid w:val="003E26FC"/>
    <w:rsid w:val="003E60F4"/>
    <w:rsid w:val="003E6A2D"/>
    <w:rsid w:val="003F03E7"/>
    <w:rsid w:val="003F1A03"/>
    <w:rsid w:val="003F2D41"/>
    <w:rsid w:val="003F37DF"/>
    <w:rsid w:val="003F4901"/>
    <w:rsid w:val="00403CAD"/>
    <w:rsid w:val="0040421D"/>
    <w:rsid w:val="00406267"/>
    <w:rsid w:val="00407970"/>
    <w:rsid w:val="00410132"/>
    <w:rsid w:val="0041266B"/>
    <w:rsid w:val="00417438"/>
    <w:rsid w:val="0041772B"/>
    <w:rsid w:val="00420A95"/>
    <w:rsid w:val="00422C40"/>
    <w:rsid w:val="004251FC"/>
    <w:rsid w:val="00427414"/>
    <w:rsid w:val="0043031D"/>
    <w:rsid w:val="00432630"/>
    <w:rsid w:val="00433FF0"/>
    <w:rsid w:val="00434182"/>
    <w:rsid w:val="00434505"/>
    <w:rsid w:val="00434BF6"/>
    <w:rsid w:val="00434F48"/>
    <w:rsid w:val="004377EC"/>
    <w:rsid w:val="00442174"/>
    <w:rsid w:val="0044637B"/>
    <w:rsid w:val="004479C5"/>
    <w:rsid w:val="00452139"/>
    <w:rsid w:val="004529FB"/>
    <w:rsid w:val="004617F4"/>
    <w:rsid w:val="00462695"/>
    <w:rsid w:val="00462C64"/>
    <w:rsid w:val="00463710"/>
    <w:rsid w:val="00464189"/>
    <w:rsid w:val="00480206"/>
    <w:rsid w:val="00482EC9"/>
    <w:rsid w:val="004849F7"/>
    <w:rsid w:val="00486BAD"/>
    <w:rsid w:val="00491ACA"/>
    <w:rsid w:val="00493BED"/>
    <w:rsid w:val="0049435E"/>
    <w:rsid w:val="00494A57"/>
    <w:rsid w:val="004966FB"/>
    <w:rsid w:val="004A09D5"/>
    <w:rsid w:val="004A2088"/>
    <w:rsid w:val="004A2A62"/>
    <w:rsid w:val="004A49F1"/>
    <w:rsid w:val="004B51AA"/>
    <w:rsid w:val="004C576D"/>
    <w:rsid w:val="004D4D38"/>
    <w:rsid w:val="004E21A5"/>
    <w:rsid w:val="004E4A9A"/>
    <w:rsid w:val="004F1233"/>
    <w:rsid w:val="004F3AE1"/>
    <w:rsid w:val="004F5D33"/>
    <w:rsid w:val="004F6C52"/>
    <w:rsid w:val="00500097"/>
    <w:rsid w:val="005013E9"/>
    <w:rsid w:val="00511009"/>
    <w:rsid w:val="00512F21"/>
    <w:rsid w:val="005258FC"/>
    <w:rsid w:val="005273DE"/>
    <w:rsid w:val="00527972"/>
    <w:rsid w:val="00534130"/>
    <w:rsid w:val="00534EEB"/>
    <w:rsid w:val="0053660F"/>
    <w:rsid w:val="00540DE6"/>
    <w:rsid w:val="00541AAD"/>
    <w:rsid w:val="00545231"/>
    <w:rsid w:val="00551F2C"/>
    <w:rsid w:val="005571CB"/>
    <w:rsid w:val="00557342"/>
    <w:rsid w:val="0056041A"/>
    <w:rsid w:val="0056089F"/>
    <w:rsid w:val="00560CD7"/>
    <w:rsid w:val="00561B19"/>
    <w:rsid w:val="00565599"/>
    <w:rsid w:val="00565DE8"/>
    <w:rsid w:val="005745E7"/>
    <w:rsid w:val="005753C8"/>
    <w:rsid w:val="00576287"/>
    <w:rsid w:val="00577A9D"/>
    <w:rsid w:val="0058530D"/>
    <w:rsid w:val="00585A24"/>
    <w:rsid w:val="0059657C"/>
    <w:rsid w:val="005A5844"/>
    <w:rsid w:val="005A785B"/>
    <w:rsid w:val="005B036D"/>
    <w:rsid w:val="005B3044"/>
    <w:rsid w:val="005B4759"/>
    <w:rsid w:val="005B61E5"/>
    <w:rsid w:val="005B7ED3"/>
    <w:rsid w:val="005C045C"/>
    <w:rsid w:val="005C1FBF"/>
    <w:rsid w:val="005C37FC"/>
    <w:rsid w:val="005D38F8"/>
    <w:rsid w:val="005D4A2C"/>
    <w:rsid w:val="005D4CEB"/>
    <w:rsid w:val="005D5050"/>
    <w:rsid w:val="005E4137"/>
    <w:rsid w:val="005F3BE2"/>
    <w:rsid w:val="005F68C5"/>
    <w:rsid w:val="00601F0B"/>
    <w:rsid w:val="006029AF"/>
    <w:rsid w:val="00606C14"/>
    <w:rsid w:val="0060794E"/>
    <w:rsid w:val="00611790"/>
    <w:rsid w:val="00616B93"/>
    <w:rsid w:val="00622186"/>
    <w:rsid w:val="0062753F"/>
    <w:rsid w:val="006316DD"/>
    <w:rsid w:val="00635FD7"/>
    <w:rsid w:val="00637111"/>
    <w:rsid w:val="00637B65"/>
    <w:rsid w:val="00637EEB"/>
    <w:rsid w:val="00641468"/>
    <w:rsid w:val="00642214"/>
    <w:rsid w:val="006552F5"/>
    <w:rsid w:val="006569F0"/>
    <w:rsid w:val="006628F9"/>
    <w:rsid w:val="0066464D"/>
    <w:rsid w:val="00667163"/>
    <w:rsid w:val="00671DB8"/>
    <w:rsid w:val="00677D53"/>
    <w:rsid w:val="00680DF6"/>
    <w:rsid w:val="00683AE7"/>
    <w:rsid w:val="0068561C"/>
    <w:rsid w:val="006918D6"/>
    <w:rsid w:val="00691BA2"/>
    <w:rsid w:val="00692CB6"/>
    <w:rsid w:val="00694C91"/>
    <w:rsid w:val="006A227F"/>
    <w:rsid w:val="006A5E1F"/>
    <w:rsid w:val="006A5E80"/>
    <w:rsid w:val="006B0B8F"/>
    <w:rsid w:val="006B1739"/>
    <w:rsid w:val="006B1B83"/>
    <w:rsid w:val="006B239E"/>
    <w:rsid w:val="006B3E36"/>
    <w:rsid w:val="006C03E7"/>
    <w:rsid w:val="006C4016"/>
    <w:rsid w:val="006C685F"/>
    <w:rsid w:val="006C7B0E"/>
    <w:rsid w:val="006D0B24"/>
    <w:rsid w:val="006D6DC7"/>
    <w:rsid w:val="006E119F"/>
    <w:rsid w:val="006E37E3"/>
    <w:rsid w:val="006E4B8A"/>
    <w:rsid w:val="006E55D7"/>
    <w:rsid w:val="006E6F5E"/>
    <w:rsid w:val="006F0811"/>
    <w:rsid w:val="006F5AB0"/>
    <w:rsid w:val="006F68C4"/>
    <w:rsid w:val="007069EA"/>
    <w:rsid w:val="00706F30"/>
    <w:rsid w:val="00713800"/>
    <w:rsid w:val="00714B0F"/>
    <w:rsid w:val="007169E2"/>
    <w:rsid w:val="00720C69"/>
    <w:rsid w:val="00721927"/>
    <w:rsid w:val="00723040"/>
    <w:rsid w:val="0072314A"/>
    <w:rsid w:val="00723F4B"/>
    <w:rsid w:val="007251C4"/>
    <w:rsid w:val="00727389"/>
    <w:rsid w:val="007307AC"/>
    <w:rsid w:val="00733A7E"/>
    <w:rsid w:val="007404B5"/>
    <w:rsid w:val="00750348"/>
    <w:rsid w:val="00750E2A"/>
    <w:rsid w:val="00752B71"/>
    <w:rsid w:val="00752DF1"/>
    <w:rsid w:val="00760B36"/>
    <w:rsid w:val="00761740"/>
    <w:rsid w:val="00761C6E"/>
    <w:rsid w:val="00762C49"/>
    <w:rsid w:val="00763474"/>
    <w:rsid w:val="00764079"/>
    <w:rsid w:val="00765A22"/>
    <w:rsid w:val="00765DDC"/>
    <w:rsid w:val="00766248"/>
    <w:rsid w:val="00773C1A"/>
    <w:rsid w:val="00773CA1"/>
    <w:rsid w:val="007740EB"/>
    <w:rsid w:val="0077483C"/>
    <w:rsid w:val="00774ADE"/>
    <w:rsid w:val="007755A4"/>
    <w:rsid w:val="00776814"/>
    <w:rsid w:val="007815BF"/>
    <w:rsid w:val="00781F69"/>
    <w:rsid w:val="00787659"/>
    <w:rsid w:val="007879C8"/>
    <w:rsid w:val="00791585"/>
    <w:rsid w:val="00792AB9"/>
    <w:rsid w:val="00794A0C"/>
    <w:rsid w:val="0079500A"/>
    <w:rsid w:val="00797A57"/>
    <w:rsid w:val="007B4F52"/>
    <w:rsid w:val="007C1B65"/>
    <w:rsid w:val="007C4803"/>
    <w:rsid w:val="007C5B59"/>
    <w:rsid w:val="007D1530"/>
    <w:rsid w:val="007D1C03"/>
    <w:rsid w:val="007D5AB5"/>
    <w:rsid w:val="007E473C"/>
    <w:rsid w:val="007E4A75"/>
    <w:rsid w:val="007E676D"/>
    <w:rsid w:val="007F0576"/>
    <w:rsid w:val="007F2726"/>
    <w:rsid w:val="007F5388"/>
    <w:rsid w:val="007F599A"/>
    <w:rsid w:val="007F5CC4"/>
    <w:rsid w:val="00806CA5"/>
    <w:rsid w:val="00813EFB"/>
    <w:rsid w:val="00817FF8"/>
    <w:rsid w:val="00820B46"/>
    <w:rsid w:val="00825113"/>
    <w:rsid w:val="00825518"/>
    <w:rsid w:val="00830C7F"/>
    <w:rsid w:val="0083326B"/>
    <w:rsid w:val="008361C3"/>
    <w:rsid w:val="008412BC"/>
    <w:rsid w:val="00842236"/>
    <w:rsid w:val="00843177"/>
    <w:rsid w:val="00844172"/>
    <w:rsid w:val="00850B11"/>
    <w:rsid w:val="0085124F"/>
    <w:rsid w:val="00851B56"/>
    <w:rsid w:val="00852BA3"/>
    <w:rsid w:val="00854864"/>
    <w:rsid w:val="00854D6C"/>
    <w:rsid w:val="00865120"/>
    <w:rsid w:val="0087203C"/>
    <w:rsid w:val="0088046B"/>
    <w:rsid w:val="008862F6"/>
    <w:rsid w:val="00887C97"/>
    <w:rsid w:val="008922CD"/>
    <w:rsid w:val="0089432A"/>
    <w:rsid w:val="008A1CD1"/>
    <w:rsid w:val="008A25CA"/>
    <w:rsid w:val="008A3EC0"/>
    <w:rsid w:val="008A7BE1"/>
    <w:rsid w:val="008B0C95"/>
    <w:rsid w:val="008B1002"/>
    <w:rsid w:val="008B306F"/>
    <w:rsid w:val="008B3A7F"/>
    <w:rsid w:val="008C181C"/>
    <w:rsid w:val="008C404D"/>
    <w:rsid w:val="008C4A66"/>
    <w:rsid w:val="008D1B43"/>
    <w:rsid w:val="008D449F"/>
    <w:rsid w:val="008D666A"/>
    <w:rsid w:val="008E0298"/>
    <w:rsid w:val="008E14B9"/>
    <w:rsid w:val="008E4D36"/>
    <w:rsid w:val="008E58F0"/>
    <w:rsid w:val="008E69E5"/>
    <w:rsid w:val="008F0F5E"/>
    <w:rsid w:val="008F32AC"/>
    <w:rsid w:val="008F405A"/>
    <w:rsid w:val="008F61F6"/>
    <w:rsid w:val="009006F3"/>
    <w:rsid w:val="00900C70"/>
    <w:rsid w:val="009035A6"/>
    <w:rsid w:val="009100DF"/>
    <w:rsid w:val="00911271"/>
    <w:rsid w:val="009115F3"/>
    <w:rsid w:val="00912460"/>
    <w:rsid w:val="009135EA"/>
    <w:rsid w:val="0091461A"/>
    <w:rsid w:val="00915129"/>
    <w:rsid w:val="00916B02"/>
    <w:rsid w:val="00920539"/>
    <w:rsid w:val="0092150A"/>
    <w:rsid w:val="0092252C"/>
    <w:rsid w:val="0092756E"/>
    <w:rsid w:val="00933BF9"/>
    <w:rsid w:val="00941154"/>
    <w:rsid w:val="00941D49"/>
    <w:rsid w:val="00944A28"/>
    <w:rsid w:val="0095453B"/>
    <w:rsid w:val="0095678E"/>
    <w:rsid w:val="00957E6E"/>
    <w:rsid w:val="00960086"/>
    <w:rsid w:val="00961023"/>
    <w:rsid w:val="00966A9E"/>
    <w:rsid w:val="00971F93"/>
    <w:rsid w:val="00972652"/>
    <w:rsid w:val="009766B8"/>
    <w:rsid w:val="00983640"/>
    <w:rsid w:val="009838D9"/>
    <w:rsid w:val="00983D88"/>
    <w:rsid w:val="00983FB4"/>
    <w:rsid w:val="00990202"/>
    <w:rsid w:val="009919E4"/>
    <w:rsid w:val="00991CEC"/>
    <w:rsid w:val="00992613"/>
    <w:rsid w:val="0099443C"/>
    <w:rsid w:val="00997397"/>
    <w:rsid w:val="009A0F0A"/>
    <w:rsid w:val="009A448C"/>
    <w:rsid w:val="009A73C1"/>
    <w:rsid w:val="009B017D"/>
    <w:rsid w:val="009B219F"/>
    <w:rsid w:val="009B232A"/>
    <w:rsid w:val="009B4650"/>
    <w:rsid w:val="009D0E56"/>
    <w:rsid w:val="009D138E"/>
    <w:rsid w:val="009D5A2C"/>
    <w:rsid w:val="009D6FF5"/>
    <w:rsid w:val="009D78BA"/>
    <w:rsid w:val="009E2D78"/>
    <w:rsid w:val="009E6401"/>
    <w:rsid w:val="009F4277"/>
    <w:rsid w:val="009F5402"/>
    <w:rsid w:val="00A02EBE"/>
    <w:rsid w:val="00A03714"/>
    <w:rsid w:val="00A05B0F"/>
    <w:rsid w:val="00A06507"/>
    <w:rsid w:val="00A068F6"/>
    <w:rsid w:val="00A06C98"/>
    <w:rsid w:val="00A070DA"/>
    <w:rsid w:val="00A116E5"/>
    <w:rsid w:val="00A117E0"/>
    <w:rsid w:val="00A12362"/>
    <w:rsid w:val="00A12D3B"/>
    <w:rsid w:val="00A13262"/>
    <w:rsid w:val="00A13D58"/>
    <w:rsid w:val="00A14E49"/>
    <w:rsid w:val="00A222E9"/>
    <w:rsid w:val="00A23A00"/>
    <w:rsid w:val="00A35E55"/>
    <w:rsid w:val="00A36CF5"/>
    <w:rsid w:val="00A40D23"/>
    <w:rsid w:val="00A447D2"/>
    <w:rsid w:val="00A458B4"/>
    <w:rsid w:val="00A46762"/>
    <w:rsid w:val="00A5737A"/>
    <w:rsid w:val="00A6340C"/>
    <w:rsid w:val="00A72CCC"/>
    <w:rsid w:val="00A74B1F"/>
    <w:rsid w:val="00A765B5"/>
    <w:rsid w:val="00A76669"/>
    <w:rsid w:val="00A80673"/>
    <w:rsid w:val="00A83E74"/>
    <w:rsid w:val="00A861D8"/>
    <w:rsid w:val="00A906E6"/>
    <w:rsid w:val="00A90E12"/>
    <w:rsid w:val="00A927D9"/>
    <w:rsid w:val="00A93AC3"/>
    <w:rsid w:val="00A96EA1"/>
    <w:rsid w:val="00A97032"/>
    <w:rsid w:val="00A978C2"/>
    <w:rsid w:val="00AA0A2C"/>
    <w:rsid w:val="00AA1180"/>
    <w:rsid w:val="00AA2200"/>
    <w:rsid w:val="00AA7176"/>
    <w:rsid w:val="00AA7B02"/>
    <w:rsid w:val="00AB219C"/>
    <w:rsid w:val="00AB2B17"/>
    <w:rsid w:val="00AB2FD0"/>
    <w:rsid w:val="00AB3D26"/>
    <w:rsid w:val="00AB61FD"/>
    <w:rsid w:val="00AC0A06"/>
    <w:rsid w:val="00AC39BB"/>
    <w:rsid w:val="00AC40BD"/>
    <w:rsid w:val="00AC5E8D"/>
    <w:rsid w:val="00AD13C6"/>
    <w:rsid w:val="00AE1A87"/>
    <w:rsid w:val="00AE33A4"/>
    <w:rsid w:val="00AE37A8"/>
    <w:rsid w:val="00AE5C0E"/>
    <w:rsid w:val="00AF2754"/>
    <w:rsid w:val="00AF4831"/>
    <w:rsid w:val="00AF513D"/>
    <w:rsid w:val="00AF52B3"/>
    <w:rsid w:val="00AF55B0"/>
    <w:rsid w:val="00B0268B"/>
    <w:rsid w:val="00B051C2"/>
    <w:rsid w:val="00B05616"/>
    <w:rsid w:val="00B15072"/>
    <w:rsid w:val="00B222F9"/>
    <w:rsid w:val="00B22479"/>
    <w:rsid w:val="00B224C2"/>
    <w:rsid w:val="00B22CAB"/>
    <w:rsid w:val="00B231E0"/>
    <w:rsid w:val="00B2340B"/>
    <w:rsid w:val="00B24CCC"/>
    <w:rsid w:val="00B255DC"/>
    <w:rsid w:val="00B25F6B"/>
    <w:rsid w:val="00B323A2"/>
    <w:rsid w:val="00B32C5A"/>
    <w:rsid w:val="00B34A2B"/>
    <w:rsid w:val="00B375B7"/>
    <w:rsid w:val="00B37D52"/>
    <w:rsid w:val="00B409B0"/>
    <w:rsid w:val="00B41A7D"/>
    <w:rsid w:val="00B422AD"/>
    <w:rsid w:val="00B46069"/>
    <w:rsid w:val="00B50FFE"/>
    <w:rsid w:val="00B53A56"/>
    <w:rsid w:val="00B56AEE"/>
    <w:rsid w:val="00B64855"/>
    <w:rsid w:val="00B670A4"/>
    <w:rsid w:val="00B67302"/>
    <w:rsid w:val="00B67E31"/>
    <w:rsid w:val="00B7180A"/>
    <w:rsid w:val="00B72039"/>
    <w:rsid w:val="00B7276D"/>
    <w:rsid w:val="00B7489D"/>
    <w:rsid w:val="00B74DB6"/>
    <w:rsid w:val="00B76A1A"/>
    <w:rsid w:val="00B77251"/>
    <w:rsid w:val="00B77EAE"/>
    <w:rsid w:val="00B8052A"/>
    <w:rsid w:val="00B80A57"/>
    <w:rsid w:val="00B83255"/>
    <w:rsid w:val="00B83EFE"/>
    <w:rsid w:val="00B8596F"/>
    <w:rsid w:val="00B86B4B"/>
    <w:rsid w:val="00B879B1"/>
    <w:rsid w:val="00B912A8"/>
    <w:rsid w:val="00B93F57"/>
    <w:rsid w:val="00B94FE6"/>
    <w:rsid w:val="00B968CE"/>
    <w:rsid w:val="00B97D53"/>
    <w:rsid w:val="00BA0414"/>
    <w:rsid w:val="00BA273E"/>
    <w:rsid w:val="00BA6915"/>
    <w:rsid w:val="00BA7F8A"/>
    <w:rsid w:val="00BB56FE"/>
    <w:rsid w:val="00BB76CD"/>
    <w:rsid w:val="00BC07F9"/>
    <w:rsid w:val="00BC0CC2"/>
    <w:rsid w:val="00BC278D"/>
    <w:rsid w:val="00BC2D93"/>
    <w:rsid w:val="00BD1B85"/>
    <w:rsid w:val="00BE37F6"/>
    <w:rsid w:val="00BE43F8"/>
    <w:rsid w:val="00BE46BB"/>
    <w:rsid w:val="00BE58C1"/>
    <w:rsid w:val="00BF16E0"/>
    <w:rsid w:val="00BF5354"/>
    <w:rsid w:val="00BF54AB"/>
    <w:rsid w:val="00C01C6E"/>
    <w:rsid w:val="00C04225"/>
    <w:rsid w:val="00C066BF"/>
    <w:rsid w:val="00C07A3D"/>
    <w:rsid w:val="00C12B38"/>
    <w:rsid w:val="00C14F6B"/>
    <w:rsid w:val="00C20B22"/>
    <w:rsid w:val="00C30A97"/>
    <w:rsid w:val="00C33961"/>
    <w:rsid w:val="00C35126"/>
    <w:rsid w:val="00C4067A"/>
    <w:rsid w:val="00C41650"/>
    <w:rsid w:val="00C43B11"/>
    <w:rsid w:val="00C509C0"/>
    <w:rsid w:val="00C52F14"/>
    <w:rsid w:val="00C53B1F"/>
    <w:rsid w:val="00C548F7"/>
    <w:rsid w:val="00C55F7E"/>
    <w:rsid w:val="00C60597"/>
    <w:rsid w:val="00C6525F"/>
    <w:rsid w:val="00C66DA3"/>
    <w:rsid w:val="00C72D7A"/>
    <w:rsid w:val="00C82432"/>
    <w:rsid w:val="00C82928"/>
    <w:rsid w:val="00C82940"/>
    <w:rsid w:val="00C83627"/>
    <w:rsid w:val="00C853EE"/>
    <w:rsid w:val="00C926EB"/>
    <w:rsid w:val="00C94301"/>
    <w:rsid w:val="00C977EB"/>
    <w:rsid w:val="00CA09F0"/>
    <w:rsid w:val="00CB225F"/>
    <w:rsid w:val="00CB2645"/>
    <w:rsid w:val="00CB43F8"/>
    <w:rsid w:val="00CB6152"/>
    <w:rsid w:val="00CB649F"/>
    <w:rsid w:val="00CB78A8"/>
    <w:rsid w:val="00CC5D6E"/>
    <w:rsid w:val="00CC7FEC"/>
    <w:rsid w:val="00CD0654"/>
    <w:rsid w:val="00CD10D3"/>
    <w:rsid w:val="00CD6A0F"/>
    <w:rsid w:val="00CD6E74"/>
    <w:rsid w:val="00CD7062"/>
    <w:rsid w:val="00CE08B3"/>
    <w:rsid w:val="00CE230B"/>
    <w:rsid w:val="00CE2353"/>
    <w:rsid w:val="00CF104A"/>
    <w:rsid w:val="00CF3BBB"/>
    <w:rsid w:val="00CF428F"/>
    <w:rsid w:val="00CF6064"/>
    <w:rsid w:val="00CF6E04"/>
    <w:rsid w:val="00D02D4C"/>
    <w:rsid w:val="00D0533E"/>
    <w:rsid w:val="00D14A92"/>
    <w:rsid w:val="00D22AF5"/>
    <w:rsid w:val="00D230BF"/>
    <w:rsid w:val="00D24EEA"/>
    <w:rsid w:val="00D24FC5"/>
    <w:rsid w:val="00D26C85"/>
    <w:rsid w:val="00D304E1"/>
    <w:rsid w:val="00D30999"/>
    <w:rsid w:val="00D3750B"/>
    <w:rsid w:val="00D43E12"/>
    <w:rsid w:val="00D542E5"/>
    <w:rsid w:val="00D600F0"/>
    <w:rsid w:val="00D603F8"/>
    <w:rsid w:val="00D65B2A"/>
    <w:rsid w:val="00D77FE5"/>
    <w:rsid w:val="00D80350"/>
    <w:rsid w:val="00D866A8"/>
    <w:rsid w:val="00D91B07"/>
    <w:rsid w:val="00D92415"/>
    <w:rsid w:val="00D93049"/>
    <w:rsid w:val="00D9425C"/>
    <w:rsid w:val="00D968FA"/>
    <w:rsid w:val="00D97251"/>
    <w:rsid w:val="00D976E9"/>
    <w:rsid w:val="00DA0FA7"/>
    <w:rsid w:val="00DA65CC"/>
    <w:rsid w:val="00DA7080"/>
    <w:rsid w:val="00DA7FEF"/>
    <w:rsid w:val="00DB394F"/>
    <w:rsid w:val="00DC0BBD"/>
    <w:rsid w:val="00DC1C6B"/>
    <w:rsid w:val="00DC3395"/>
    <w:rsid w:val="00DC47D2"/>
    <w:rsid w:val="00DC7802"/>
    <w:rsid w:val="00DD1757"/>
    <w:rsid w:val="00DD21D3"/>
    <w:rsid w:val="00DD2665"/>
    <w:rsid w:val="00DD2D80"/>
    <w:rsid w:val="00DD3548"/>
    <w:rsid w:val="00DD3FB6"/>
    <w:rsid w:val="00DD70C8"/>
    <w:rsid w:val="00DE1171"/>
    <w:rsid w:val="00DE381F"/>
    <w:rsid w:val="00DE5429"/>
    <w:rsid w:val="00DE7AA3"/>
    <w:rsid w:val="00DE7C36"/>
    <w:rsid w:val="00DF0B1A"/>
    <w:rsid w:val="00E003D0"/>
    <w:rsid w:val="00E0440F"/>
    <w:rsid w:val="00E06D13"/>
    <w:rsid w:val="00E07335"/>
    <w:rsid w:val="00E10AD7"/>
    <w:rsid w:val="00E11C71"/>
    <w:rsid w:val="00E13987"/>
    <w:rsid w:val="00E1435F"/>
    <w:rsid w:val="00E1631B"/>
    <w:rsid w:val="00E20729"/>
    <w:rsid w:val="00E24CF5"/>
    <w:rsid w:val="00E26F03"/>
    <w:rsid w:val="00E33973"/>
    <w:rsid w:val="00E34452"/>
    <w:rsid w:val="00E35E2F"/>
    <w:rsid w:val="00E374EA"/>
    <w:rsid w:val="00E406D6"/>
    <w:rsid w:val="00E40ED2"/>
    <w:rsid w:val="00E424AE"/>
    <w:rsid w:val="00E427B1"/>
    <w:rsid w:val="00E44938"/>
    <w:rsid w:val="00E4685D"/>
    <w:rsid w:val="00E50F7F"/>
    <w:rsid w:val="00E55BBA"/>
    <w:rsid w:val="00E56F91"/>
    <w:rsid w:val="00E60526"/>
    <w:rsid w:val="00E6094B"/>
    <w:rsid w:val="00E61F0E"/>
    <w:rsid w:val="00E62A6D"/>
    <w:rsid w:val="00E66F52"/>
    <w:rsid w:val="00E70012"/>
    <w:rsid w:val="00E747DE"/>
    <w:rsid w:val="00E74D92"/>
    <w:rsid w:val="00E761AB"/>
    <w:rsid w:val="00E80BF6"/>
    <w:rsid w:val="00E81B79"/>
    <w:rsid w:val="00E82B7A"/>
    <w:rsid w:val="00E8504C"/>
    <w:rsid w:val="00E85D47"/>
    <w:rsid w:val="00E86E7B"/>
    <w:rsid w:val="00E87B7A"/>
    <w:rsid w:val="00E87C51"/>
    <w:rsid w:val="00E9058F"/>
    <w:rsid w:val="00E91FD0"/>
    <w:rsid w:val="00E9312F"/>
    <w:rsid w:val="00E951A6"/>
    <w:rsid w:val="00E96BAC"/>
    <w:rsid w:val="00E96E18"/>
    <w:rsid w:val="00EA1798"/>
    <w:rsid w:val="00EA1BA3"/>
    <w:rsid w:val="00EA5016"/>
    <w:rsid w:val="00EB2041"/>
    <w:rsid w:val="00EB2576"/>
    <w:rsid w:val="00EB3C30"/>
    <w:rsid w:val="00EB5086"/>
    <w:rsid w:val="00EC0910"/>
    <w:rsid w:val="00EC5262"/>
    <w:rsid w:val="00EC7302"/>
    <w:rsid w:val="00ED2EAD"/>
    <w:rsid w:val="00ED51A8"/>
    <w:rsid w:val="00ED68B3"/>
    <w:rsid w:val="00ED6D0B"/>
    <w:rsid w:val="00EE32D9"/>
    <w:rsid w:val="00EE4797"/>
    <w:rsid w:val="00EF13B0"/>
    <w:rsid w:val="00EF316B"/>
    <w:rsid w:val="00F06BBA"/>
    <w:rsid w:val="00F10B31"/>
    <w:rsid w:val="00F12771"/>
    <w:rsid w:val="00F12B21"/>
    <w:rsid w:val="00F13A73"/>
    <w:rsid w:val="00F24AC1"/>
    <w:rsid w:val="00F24F19"/>
    <w:rsid w:val="00F270EB"/>
    <w:rsid w:val="00F30001"/>
    <w:rsid w:val="00F303F3"/>
    <w:rsid w:val="00F31930"/>
    <w:rsid w:val="00F328C8"/>
    <w:rsid w:val="00F33A5A"/>
    <w:rsid w:val="00F3568B"/>
    <w:rsid w:val="00F4360E"/>
    <w:rsid w:val="00F505AA"/>
    <w:rsid w:val="00F524D3"/>
    <w:rsid w:val="00F5639E"/>
    <w:rsid w:val="00F57DA9"/>
    <w:rsid w:val="00F6625D"/>
    <w:rsid w:val="00F70234"/>
    <w:rsid w:val="00F72AE8"/>
    <w:rsid w:val="00F77E8F"/>
    <w:rsid w:val="00F944EF"/>
    <w:rsid w:val="00F95C4A"/>
    <w:rsid w:val="00FA1026"/>
    <w:rsid w:val="00FA136C"/>
    <w:rsid w:val="00FA6FE6"/>
    <w:rsid w:val="00FB1BE2"/>
    <w:rsid w:val="00FB2781"/>
    <w:rsid w:val="00FB393E"/>
    <w:rsid w:val="00FC2DD0"/>
    <w:rsid w:val="00FC33C6"/>
    <w:rsid w:val="00FC4454"/>
    <w:rsid w:val="00FC4DB9"/>
    <w:rsid w:val="00FC54AC"/>
    <w:rsid w:val="00FC72D9"/>
    <w:rsid w:val="00FD2695"/>
    <w:rsid w:val="00FD3752"/>
    <w:rsid w:val="00FD5481"/>
    <w:rsid w:val="00FD6C5A"/>
    <w:rsid w:val="00FD6D59"/>
    <w:rsid w:val="00FD70F1"/>
    <w:rsid w:val="00FD78BC"/>
    <w:rsid w:val="00FE05DF"/>
    <w:rsid w:val="00FE32AF"/>
    <w:rsid w:val="00FE4437"/>
    <w:rsid w:val="00FF0118"/>
    <w:rsid w:val="00FF1880"/>
    <w:rsid w:val="00FF1D47"/>
    <w:rsid w:val="00FF2B70"/>
    <w:rsid w:val="00FF3D60"/>
    <w:rsid w:val="00FF5726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B854A-BEAC-41F6-8124-F6F10D8E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B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B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B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C20B2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C20B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39"/>
    <w:rsid w:val="00CF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5231"/>
    <w:rPr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unhideWhenUsed/>
    <w:qFormat/>
    <w:rsid w:val="00C72D7A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759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865120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65120"/>
    <w:rPr>
      <w:rFonts w:ascii="Times New Roman" w:eastAsia="Times New Roman" w:hAnsi="Times New Roman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4626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2695"/>
    <w:rPr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52BA3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52BA3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C39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B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615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B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6152"/>
    <w:rPr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606C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06C1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06C14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6C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06C14"/>
    <w:rPr>
      <w:b/>
      <w:bCs/>
      <w:lang w:eastAsia="en-US"/>
    </w:rPr>
  </w:style>
  <w:style w:type="paragraph" w:styleId="3">
    <w:name w:val="Body Text Indent 3"/>
    <w:basedOn w:val="a"/>
    <w:link w:val="30"/>
    <w:uiPriority w:val="99"/>
    <w:unhideWhenUsed/>
    <w:rsid w:val="00EC7302"/>
    <w:pPr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7302"/>
    <w:rPr>
      <w:rFonts w:ascii="Times New Roman" w:hAnsi="Times New Roman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85D47"/>
  </w:style>
  <w:style w:type="paragraph" w:styleId="af6">
    <w:name w:val="footnote text"/>
    <w:basedOn w:val="a"/>
    <w:link w:val="af7"/>
    <w:unhideWhenUsed/>
    <w:rsid w:val="00E85D4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85D47"/>
    <w:rPr>
      <w:lang w:eastAsia="en-US"/>
    </w:rPr>
  </w:style>
  <w:style w:type="character" w:styleId="af8">
    <w:name w:val="footnote reference"/>
    <w:basedOn w:val="a0"/>
    <w:unhideWhenUsed/>
    <w:rsid w:val="00E85D47"/>
    <w:rPr>
      <w:vertAlign w:val="superscript"/>
    </w:rPr>
  </w:style>
  <w:style w:type="table" w:customStyle="1" w:styleId="12">
    <w:name w:val="Сетка таблицы1"/>
    <w:basedOn w:val="a1"/>
    <w:next w:val="a4"/>
    <w:uiPriority w:val="39"/>
    <w:rsid w:val="00E85D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nhideWhenUsed/>
    <w:rsid w:val="00A906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906E6"/>
    <w:rPr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A906E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A90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4">
    <w:name w:val="Обычный1"/>
    <w:rsid w:val="00A906E6"/>
    <w:rPr>
      <w:rFonts w:ascii="Times New Roman" w:eastAsia="Times New Roman" w:hAnsi="Times New Roman"/>
    </w:rPr>
  </w:style>
  <w:style w:type="paragraph" w:customStyle="1" w:styleId="af9">
    <w:name w:val="адрес"/>
    <w:basedOn w:val="a"/>
    <w:rsid w:val="00A906E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438D-852D-475E-8731-83141C29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Olga.Vasina</dc:creator>
  <cp:lastModifiedBy>Гремякова Ольга Петровна</cp:lastModifiedBy>
  <cp:revision>2</cp:revision>
  <cp:lastPrinted>2015-10-29T08:10:00Z</cp:lastPrinted>
  <dcterms:created xsi:type="dcterms:W3CDTF">2015-11-09T11:42:00Z</dcterms:created>
  <dcterms:modified xsi:type="dcterms:W3CDTF">2015-11-09T11:42:00Z</dcterms:modified>
</cp:coreProperties>
</file>